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087e31e97b2d1e8aa52ae692e53ff54fee687d"/>
    <w:p>
      <w:pPr>
        <w:pStyle w:val="Heading1"/>
      </w:pPr>
      <w:r>
        <w:t xml:space="preserve">HiPerGator: University of Florida's AI Supercomputer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https://ai.ufl.edu/research/hipergator/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University of Florida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(page current as of 2026)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HiPerGator stands as "the fastest supercomputer owned and operated by a university in the U.S." The system powers AI research and educational initiatives across the University of Florida and partner institutions.</w:t>
      </w:r>
    </w:p>
    <w:bookmarkEnd w:id="21"/>
    <w:bookmarkStart w:id="22" w:name="current-capabilities-hipergator-30"/>
    <w:p>
      <w:pPr>
        <w:pStyle w:val="Heading2"/>
      </w:pPr>
      <w:r>
        <w:t xml:space="preserve">Current Capabilities (HiPerGator 3.0)</w:t>
      </w:r>
    </w:p>
    <w:p>
      <w:pPr>
        <w:pStyle w:val="FirstParagraph"/>
      </w:pPr>
      <w:r>
        <w:rPr>
          <w:b/>
          <w:bCs/>
        </w:rPr>
        <w:t xml:space="preserve">Hardware Configuration:</w:t>
      </w:r>
    </w:p>
    <w:p>
      <w:pPr>
        <w:pStyle w:val="Compact"/>
        <w:numPr>
          <w:ilvl w:val="0"/>
          <w:numId w:val="1001"/>
        </w:numPr>
      </w:pPr>
      <w:r>
        <w:t xml:space="preserve">140 NVIDIA DGX A100 nodes</w:t>
      </w:r>
    </w:p>
    <w:p>
      <w:pPr>
        <w:pStyle w:val="Compact"/>
        <w:numPr>
          <w:ilvl w:val="0"/>
          <w:numId w:val="1001"/>
        </w:numPr>
      </w:pPr>
      <w:r>
        <w:t xml:space="preserve">17,920 AMD Rome cores</w:t>
      </w:r>
    </w:p>
    <w:p>
      <w:pPr>
        <w:pStyle w:val="Compact"/>
        <w:numPr>
          <w:ilvl w:val="0"/>
          <w:numId w:val="1001"/>
        </w:numPr>
      </w:pPr>
      <w:r>
        <w:t xml:space="preserve">1,120 NVIDIA Ampere A100 GPUs</w:t>
      </w:r>
    </w:p>
    <w:p>
      <w:pPr>
        <w:pStyle w:val="Compact"/>
        <w:numPr>
          <w:ilvl w:val="0"/>
          <w:numId w:val="1001"/>
        </w:numPr>
      </w:pPr>
      <w:r>
        <w:t xml:space="preserve">2.5 PB all-flash storage</w:t>
      </w:r>
    </w:p>
    <w:p>
      <w:pPr>
        <w:pStyle w:val="Compact"/>
        <w:numPr>
          <w:ilvl w:val="0"/>
          <w:numId w:val="1001"/>
        </w:numPr>
      </w:pPr>
      <w:r>
        <w:t xml:space="preserve">Over 200 HDR Infiniband and Ethernet switches</w:t>
      </w:r>
    </w:p>
    <w:p>
      <w:pPr>
        <w:pStyle w:val="FirstParagraph"/>
      </w:pPr>
      <w:r>
        <w:rPr>
          <w:b/>
          <w:bCs/>
        </w:rPr>
        <w:t xml:space="preserve">Performance Metrics:</w:t>
      </w:r>
    </w:p>
    <w:p>
      <w:pPr>
        <w:pStyle w:val="Compact"/>
        <w:numPr>
          <w:ilvl w:val="0"/>
          <w:numId w:val="1002"/>
        </w:numPr>
      </w:pPr>
      <w:r>
        <w:t xml:space="preserve">Double precision LinPack: 17.2 Petaflops</w:t>
      </w:r>
    </w:p>
    <w:p>
      <w:pPr>
        <w:pStyle w:val="Compact"/>
        <w:numPr>
          <w:ilvl w:val="0"/>
          <w:numId w:val="1002"/>
        </w:numPr>
      </w:pPr>
      <w:r>
        <w:t xml:space="preserve">TOP500 ranking (June 2021): #22</w:t>
      </w:r>
    </w:p>
    <w:p>
      <w:pPr>
        <w:pStyle w:val="Compact"/>
        <w:numPr>
          <w:ilvl w:val="0"/>
          <w:numId w:val="1002"/>
        </w:numPr>
      </w:pPr>
      <w:r>
        <w:t xml:space="preserve">Green500 ranking (June 2021): #2</w:t>
      </w:r>
    </w:p>
    <w:p>
      <w:pPr>
        <w:pStyle w:val="Compact"/>
        <w:numPr>
          <w:ilvl w:val="0"/>
          <w:numId w:val="1002"/>
        </w:numPr>
      </w:pPr>
      <w:r>
        <w:t xml:space="preserve">AI Floating Point Operations: 0.7 Exaflops</w:t>
      </w:r>
    </w:p>
    <w:p>
      <w:pPr>
        <w:pStyle w:val="FirstParagraph"/>
      </w:pPr>
      <w:r>
        <w:rPr>
          <w:b/>
          <w:bCs/>
        </w:rPr>
        <w:t xml:space="preserve">Per-Node Specifications:</w:t>
      </w:r>
    </w:p>
    <w:p>
      <w:pPr>
        <w:pStyle w:val="Compact"/>
        <w:numPr>
          <w:ilvl w:val="0"/>
          <w:numId w:val="1003"/>
        </w:numPr>
      </w:pPr>
      <w:r>
        <w:t xml:space="preserve">2x AMD EPYC 7742 64-core processors (256 cores per node with SMT)</w:t>
      </w:r>
    </w:p>
    <w:p>
      <w:pPr>
        <w:pStyle w:val="Compact"/>
        <w:numPr>
          <w:ilvl w:val="0"/>
          <w:numId w:val="1003"/>
        </w:numPr>
      </w:pPr>
      <w:r>
        <w:t xml:space="preserve">2TB RAM</w:t>
      </w:r>
    </w:p>
    <w:p>
      <w:pPr>
        <w:pStyle w:val="Compact"/>
        <w:numPr>
          <w:ilvl w:val="0"/>
          <w:numId w:val="1003"/>
        </w:numPr>
      </w:pPr>
      <w:r>
        <w:t xml:space="preserve">8x NVIDIA A100 80GB Tensor Core GPUs</w:t>
      </w:r>
    </w:p>
    <w:p>
      <w:pPr>
        <w:pStyle w:val="Compact"/>
        <w:numPr>
          <w:ilvl w:val="0"/>
          <w:numId w:val="1003"/>
        </w:numPr>
      </w:pPr>
      <w:r>
        <w:t xml:space="preserve">NVSWITCH technology for unified memory</w:t>
      </w:r>
    </w:p>
    <w:p>
      <w:pPr>
        <w:pStyle w:val="Compact"/>
        <w:numPr>
          <w:ilvl w:val="0"/>
          <w:numId w:val="1003"/>
        </w:numPr>
      </w:pPr>
      <w:r>
        <w:t xml:space="preserve">10x HDR IB interfaces</w:t>
      </w:r>
    </w:p>
    <w:p>
      <w:pPr>
        <w:pStyle w:val="Compact"/>
        <w:numPr>
          <w:ilvl w:val="0"/>
          <w:numId w:val="1003"/>
        </w:numPr>
      </w:pPr>
      <w:r>
        <w:t xml:space="preserve">2x 100GbE Ethernet interfaces</w:t>
      </w:r>
    </w:p>
    <w:p>
      <w:pPr>
        <w:pStyle w:val="Compact"/>
        <w:numPr>
          <w:ilvl w:val="0"/>
          <w:numId w:val="1003"/>
        </w:numPr>
      </w:pPr>
      <w:r>
        <w:t xml:space="preserve">28TB NVMe local storage</w:t>
      </w:r>
    </w:p>
    <w:bookmarkEnd w:id="22"/>
    <w:bookmarkStart w:id="23" w:name="planned-upgrade"/>
    <w:p>
      <w:pPr>
        <w:pStyle w:val="Heading2"/>
      </w:pPr>
      <w:r>
        <w:t xml:space="preserve">Planned Upgrade</w:t>
      </w:r>
    </w:p>
    <w:p>
      <w:pPr>
        <w:pStyle w:val="FirstParagraph"/>
      </w:pPr>
      <w:r>
        <w:t xml:space="preserve">The Board of Trustees approved a $24 million investment to acquire an advanced HiPerGator version featuring:</w:t>
      </w:r>
    </w:p>
    <w:p>
      <w:pPr>
        <w:pStyle w:val="Compact"/>
        <w:numPr>
          <w:ilvl w:val="0"/>
          <w:numId w:val="1004"/>
        </w:numPr>
      </w:pPr>
      <w:r>
        <w:t xml:space="preserve">63 NVIDIA DGX B200 systems</w:t>
      </w:r>
    </w:p>
    <w:p>
      <w:pPr>
        <w:pStyle w:val="Compact"/>
        <w:numPr>
          <w:ilvl w:val="0"/>
          <w:numId w:val="1004"/>
        </w:numPr>
      </w:pPr>
      <w:r>
        <w:t xml:space="preserve">NVIDIA AI Enterprise software platform</w:t>
      </w:r>
    </w:p>
    <w:p>
      <w:pPr>
        <w:pStyle w:val="Compact"/>
        <w:numPr>
          <w:ilvl w:val="0"/>
          <w:numId w:val="1004"/>
        </w:numPr>
      </w:pPr>
      <w:r>
        <w:t xml:space="preserve">NVIDIA Quantum-2 InfiniBand networking (400 Gb/s per GPU)</w:t>
      </w:r>
    </w:p>
    <w:bookmarkEnd w:id="23"/>
    <w:bookmarkStart w:id="24" w:name="research-and-educational-use"/>
    <w:p>
      <w:pPr>
        <w:pStyle w:val="Heading2"/>
      </w:pPr>
      <w:r>
        <w:t xml:space="preserve">Research and Educational Use</w:t>
      </w:r>
    </w:p>
    <w:p>
      <w:pPr>
        <w:pStyle w:val="FirstParagraph"/>
      </w:pPr>
      <w:r>
        <w:t xml:space="preserve">Over 6,000 researchers utilize HiPerGator across semesters. The system powers NaviGator AI, providing access to generative AI tools including Llama, ChatGPT, Gemini, Claude, and Diffusion technologies.</w:t>
      </w:r>
    </w:p>
    <w:bookmarkEnd w:id="24"/>
    <w:bookmarkStart w:id="25" w:name="access-options"/>
    <w:p>
      <w:pPr>
        <w:pStyle w:val="Heading2"/>
      </w:pPr>
      <w:r>
        <w:t xml:space="preserve">Access Options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Teaching:</w:t>
      </w:r>
      <w:r>
        <w:t xml:space="preserve"> </w:t>
      </w:r>
      <w:r>
        <w:t xml:space="preserve">Free allocations lasting one semester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Research:</w:t>
      </w:r>
      <w:r>
        <w:t xml:space="preserve"> </w:t>
      </w:r>
      <w:r>
        <w:t xml:space="preserve">Purchased allocations from three months to several years per published pricing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Trial:</w:t>
      </w:r>
      <w:r>
        <w:t xml:space="preserve"> </w:t>
      </w:r>
      <w:r>
        <w:t xml:space="preserve">Three-month exploratory allocations available through UFIT Research Computing</w:t>
      </w:r>
    </w:p>
    <w:bookmarkEnd w:id="25"/>
    <w:bookmarkStart w:id="26" w:name="funding-and-partnership"/>
    <w:p>
      <w:pPr>
        <w:pStyle w:val="Heading2"/>
      </w:pPr>
      <w:r>
        <w:t xml:space="preserve">Funding and Partnership</w:t>
      </w:r>
    </w:p>
    <w:p>
      <w:pPr>
        <w:pStyle w:val="FirstParagraph"/>
      </w:pPr>
      <w:r>
        <w:t xml:space="preserve">A $50 million gift from NVIDIA co-founder and UF alumnus Chris Malachowsky anchored the system's development, alongside hardware, software, training, and services from NVIDIA.</w:t>
      </w:r>
    </w:p>
    <w:bookmarkEnd w:id="26"/>
    <w:bookmarkStart w:id="27" w:name="support-resources"/>
    <w:p>
      <w:pPr>
        <w:pStyle w:val="Heading2"/>
      </w:pPr>
      <w:r>
        <w:t xml:space="preserve">Support Resources</w:t>
      </w:r>
    </w:p>
    <w:p>
      <w:pPr>
        <w:pStyle w:val="FirstParagraph"/>
      </w:pPr>
      <w:r>
        <w:t xml:space="preserve">Live training sessions; purchase requests; support through UFIT Research Computing; classroom support provided at no cost.</w:t>
      </w:r>
    </w:p>
    <w:bookmarkEnd w:id="27"/>
    <w:bookmarkStart w:id="29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t xml:space="preserve">AI at UF — Ayers Building at Innovation Square, 720 SW Second Ave. Suite 105, Gainesville, FL 32601 —</w:t>
      </w:r>
      <w:r>
        <w:t xml:space="preserve"> </w:t>
      </w:r>
      <w:hyperlink w:tgtFrame="_blank" r:id="rId28">
        <w:r>
          <w:rPr>
            <w:rStyle w:val="Hyperlink"/>
          </w:rPr>
          <w:t xml:space="preserve">ai@ufl.edu</w:t>
        </w:r>
      </w:hyperlink>
      <w:r>
        <w:t xml:space="preserve"> </w:t>
      </w:r>
      <w:r>
        <w:t xml:space="preserve">— (352) 294-1895</w:t>
      </w:r>
    </w:p>
    <w:bookmarkEnd w:id="29"/>
    <w:bookmarkStart w:id="32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6"/>
        </w:numPr>
      </w:pPr>
      <w:hyperlink w:tgtFrame="_blank" r:id="rId30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6"/>
        </w:numPr>
      </w:pPr>
      <w:hyperlink w:tgtFrame="_blank" r:id="rId31">
        <w:r>
          <w:rPr>
            <w:rStyle w:val="Hyperlink"/>
          </w:rPr>
          <w:t xml:space="preserve">Summary Report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34" Type="http://schemas.openxmlformats.org/officeDocument/2006/relationships/customXml" Target="../customXml/item3.xml"/><Relationship Id="rId7" Type="http://schemas.openxmlformats.org/officeDocument/2006/relationships/footnotes" Target="footnotes.xml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20" Type="http://schemas.openxmlformats.org/officeDocument/2006/relationships/hyperlink" Target="https://ai.ufl.edu/research/hipergator/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1.xml"/><Relationship Id="rId5" Type="http://schemas.openxmlformats.org/officeDocument/2006/relationships/fontTable" Target="fontTable.xml"/><Relationship Id="rId28" Type="http://schemas.openxmlformats.org/officeDocument/2006/relationships/hyperlink" Target="mailto:ai@ufl.edu" TargetMode="External"/><Relationship Id="rId31" Type="http://schemas.openxmlformats.org/officeDocument/2006/relationships/hyperlink" Target="https://tarleton.sharepoint.com/sites/StrategicInsights_njpwtl/Shared%20Documents/University%20AI%20Audit/SCHOOL%20RESEARCH%20FOR%20PAC/SCHOOLS/university-of-florida/summary-report.docx?web=1" TargetMode="External"/><Relationship Id="rId4" Type="http://schemas.openxmlformats.org/officeDocument/2006/relationships/webSettings" Target="webSettings.xml"/><Relationship Id="rId30" Type="http://schemas.openxmlformats.org/officeDocument/2006/relationships/hyperlink" Target="https://tarleton.sharepoint.com/sites/StrategicInsights_njpwtl/Shared%20Documents/University%20AI%20Audit/SCHOOL%20RESEARCH%20FOR%20PAC/SCHOOLS/university-of-florida/in-depth-report.docx?web=1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i.ufl.edu/research/hipergator/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university-of-florida/in-depth-report.docx?web=1" TargetMode="External" /><Relationship Type="http://schemas.openxmlformats.org/officeDocument/2006/relationships/hyperlink" Id="rId31" Target="https://tarleton.sharepoint.com/sites/StrategicInsights_njpwtl/Shared%20Documents/University%20AI%20Audit/SCHOOL%20RESEARCH%20FOR%20PAC/SCHOOLS/university-of-florida/summary-report.docx?web=1" TargetMode="External" /><Relationship Type="http://schemas.openxmlformats.org/officeDocument/2006/relationships/hyperlink" Id="rId28" Target="mailto:ai@ufl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27C923-546E-484E-8CE7-E77C521F9B3A}"/>
</file>

<file path=customXml/itemProps2.xml><?xml version="1.0" encoding="utf-8"?>
<ds:datastoreItem xmlns:ds="http://schemas.openxmlformats.org/officeDocument/2006/customXml" ds:itemID="{6B149F33-C676-45F8-85CC-169BF86460A6}"/>
</file>

<file path=customXml/itemProps3.xml><?xml version="1.0" encoding="utf-8"?>
<ds:datastoreItem xmlns:ds="http://schemas.openxmlformats.org/officeDocument/2006/customXml" ds:itemID="{4C7DB3E6-DD76-44D2-8C51-F1D0134716E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2026-07-26T02:44:56Z</dcterms:created>
  <dcterms:modified xsi:type="dcterms:W3CDTF">2026-07-26T02:44:56Z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