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6510d4b7b3e22d9bf20daffcd37db831a57ad7b"/>
    <w:p>
      <w:pPr>
        <w:pStyle w:val="Heading1"/>
      </w:pPr>
      <w:r>
        <w:t xml:space="preserve">Developing a model for AI Across the curriculum: Transforming the higher education landscape via innovation in AI literacy</w:t>
      </w:r>
    </w:p>
    <w:p>
      <w:pPr>
        <w:pStyle w:val="BlockText"/>
      </w:pPr>
      <w:r>
        <w:rPr>
          <w:b/>
          <w:bCs/>
        </w:rPr>
        <w:t xml:space="preserve">Original URL:</w:t>
      </w:r>
      <w:r>
        <w:t xml:space="preserve"> </w:t>
      </w:r>
      <w:hyperlink w:tgtFrame="_blank" r:id="rId20">
        <w:r>
          <w:rPr>
            <w:rStyle w:val="Hyperlink"/>
          </w:rPr>
          <w:t xml:space="preserve">https://www.sciencedirect.com/science/article/pii/S2666920X23000061</w:t>
        </w:r>
      </w:hyperlink>
      <w:r>
        <w:t xml:space="preserve"> </w:t>
      </w:r>
      <w:r>
        <w:rPr>
          <w:b/>
          <w:bCs/>
        </w:rPr>
        <w:t xml:space="preserve">Publisher:</w:t>
      </w:r>
      <w:r>
        <w:t xml:space="preserve"> </w:t>
      </w:r>
      <w:r>
        <w:t xml:space="preserve">Computers and Education: Artificial Intelligence, Vol. 4, Article 100127 (Elsevier), open access CC BY-NC-ND —</w:t>
      </w:r>
      <w:r>
        <w:t xml:space="preserve"> </w:t>
      </w:r>
      <w:r>
        <w:rPr>
          <w:b/>
          <w:bCs/>
        </w:rPr>
        <w:t xml:space="preserve">Published:</w:t>
      </w:r>
      <w:r>
        <w:t xml:space="preserve"> </w:t>
      </w:r>
      <w:r>
        <w:t xml:space="preserve">2023-01 (Volume 4, 2023; DOI 10.1016/j.caeai.2023.100127) —</w:t>
      </w:r>
      <w:r>
        <w:t xml:space="preserve"> </w:t>
      </w:r>
      <w:r>
        <w:rPr>
          <w:b/>
          <w:bCs/>
        </w:rPr>
        <w:t xml:space="preserve">Retrieved:</w:t>
      </w:r>
      <w:r>
        <w:t xml:space="preserve"> </w:t>
      </w:r>
      <w:r>
        <w:t xml:space="preserve">2026-07-24 —</w:t>
      </w:r>
      <w:r>
        <w:t xml:space="preserve"> </w:t>
      </w:r>
      <w:r>
        <w:rPr>
          <w:b/>
          <w:bCs/>
        </w:rPr>
        <w:t xml:space="preserve">Type:</w:t>
      </w:r>
      <w:r>
        <w:t xml:space="preserve"> </w:t>
      </w:r>
      <w:r>
        <w:t xml:space="preserve">paper</w:t>
      </w:r>
    </w:p>
    <w:p>
      <w:pPr>
        <w:pStyle w:val="FirstParagraph"/>
      </w:pPr>
      <w:r>
        <w:rPr>
          <w:b/>
          <w:bCs/>
        </w:rPr>
        <w:t xml:space="preserve">Authors:</w:t>
      </w:r>
      <w:r>
        <w:t xml:space="preserve"> </w:t>
      </w:r>
      <w:r>
        <w:t xml:space="preserve">Jane Southworth, Kati Migliaccio, Joe Glover, Ja'Net Glover, David Reed, Christopher McCarty, Joel Brendemuhl, Aaron Thomas (all University of Florida).</w:t>
      </w:r>
    </w:p>
    <w:p>
      <w:pPr>
        <w:pStyle w:val="BodyText"/>
      </w:pPr>
      <w:r>
        <w:rPr>
          <w:b/>
          <w:bCs/>
        </w:rPr>
        <w:t xml:space="preserve">Journal:</w:t>
      </w:r>
      <w:r>
        <w:t xml:space="preserve"> </w:t>
      </w:r>
      <w:r>
        <w:t xml:space="preserve">Computers and Education: Artificial Intelligence, Volume 4, 100127 (2023). DOI:</w:t>
      </w:r>
      <w:r>
        <w:t xml:space="preserve"> </w:t>
      </w:r>
      <w:hyperlink w:tgtFrame="_blank" r:id="rId21">
        <w:r>
          <w:rPr>
            <w:rStyle w:val="Hyperlink"/>
          </w:rPr>
          <w:t xml:space="preserve">10.1016/j.caeai.2023.100127</w:t>
        </w:r>
      </w:hyperlink>
      <w:r>
        <w:t xml:space="preserve">. Open access (CC BY-NC-ND). Cited by 552 works as of July 2026 (OpenAlex).</w:t>
      </w:r>
    </w:p>
    <w:p>
      <w:pPr>
        <w:pStyle w:val="BlockText"/>
      </w:pPr>
      <w:r>
        <w:t xml:space="preserve">Capture note (2026-07-24): The publisher PDF could not be downloaded automatically (UF's own mirror at ai.ufl.edu/media/.../Developing-a-Model-for-AI-Across-the-Curriculum...pdf now returns 404, and ScienceDirect blocks non-browser retrieval). The verbatim abstract below was reconstructed from the OpenAlex record for the DOI; the model description is corroborated by UF's own pages (</w:t>
      </w:r>
      <w:hyperlink w:tgtFrame="_blank" r:id="rId22">
        <w:r>
          <w:rPr>
            <w:rStyle w:val="Hyperlink"/>
          </w:rPr>
          <w:t xml:space="preserve">AI Across the Curriculum</w:t>
        </w:r>
      </w:hyperlink>
      <w:r>
        <w:t xml:space="preserve">,</w:t>
      </w:r>
      <w:r>
        <w:t xml:space="preserve"> </w:t>
      </w:r>
      <w:hyperlink w:tgtFrame="_blank" r:id="rId23">
        <w:r>
          <w:rPr>
            <w:rStyle w:val="Hyperlink"/>
          </w:rPr>
          <w:t xml:space="preserve">AI Course Designations</w:t>
        </w:r>
      </w:hyperlink>
      <w:r>
        <w:t xml:space="preserve">) and UF News coverage (</w:t>
      </w:r>
      <w:hyperlink w:tgtFrame="_blank" r:id="rId24">
        <w:r>
          <w:rPr>
            <w:rStyle w:val="Hyperlink"/>
          </w:rPr>
          <w:t xml:space="preserve">How UF developed a model for AI across the curriculum</w:t>
        </w:r>
      </w:hyperlink>
      <w:r>
        <w:t xml:space="preserve">).</w:t>
      </w:r>
    </w:p>
    <w:bookmarkStart w:id="25" w:name="abstract-verbatim"/>
    <w:p>
      <w:pPr>
        <w:pStyle w:val="Heading2"/>
      </w:pPr>
      <w:r>
        <w:t xml:space="preserve">Abstract (verbatim)</w:t>
      </w:r>
    </w:p>
    <w:p>
      <w:pPr>
        <w:pStyle w:val="FirstParagraph"/>
      </w:pPr>
      <w:r>
        <w:t xml:space="preserve">"Artificial Intelligence (AI) is a ubiquitous concept and tool already found across society and an integral part of everyday life. As such, basic understanding and knowledge of AI should be a critical component of student education to foster successful global citizens. This position paper describes one possible path to address potential gaps in AI education and integrate AI across the curriculum at a traditional research university. The University of Florida (UF) is infusing AI across the curriculum and developing opportunities for student engagement within identified areas of AI literacy regardless of student discipline. The AI Across the Curriculum initiative being developed at UF will make AI education a cornerstone opportunity for all students. The ultimate goal of AI Across the Curriculum is the creation of an AI-ready workforce covering the essential 21st-century competencies identified as workforce and government needs worldwide. Qualified human capital is essential to face the challenges of the 21st-century, and UF is positioning itself to lead in meeting this global societal need. In designing the AI Across the Curriculum model, all students are provided with a suite of AI opportunities and are encouraged to engage. The university is taking advantage of a significant investment in AI campus-wide to innovate curriculum and create activities that nurture interdisciplinary engagement while ensuring student career readiness. As businesses, industry, and governments transform globally within this AI paradigm shift, AI education, innovation, and literacy will become cornerstones of curriculum with UF providing an inclusive example for all undergraduate, graduate, and professional students. While the AI effort at UF is inclusive and broad, the focus of this paper is on undergraduate programs which also represents a Quality Enhancement Plan (or QEP) effort for reaccreditation of UF's undergraduate programs. This program is highly innovative and transformative, creating interdisciplinary AI literacy opportunity for all students."</w:t>
      </w:r>
    </w:p>
    <w:bookmarkEnd w:id="25"/>
    <w:bookmarkStart w:id="26" w:name="Xbdfa016abce8ffc9e77b6e3aedff0c41addf5cf"/>
    <w:p>
      <w:pPr>
        <w:pStyle w:val="Heading2"/>
      </w:pPr>
      <w:r>
        <w:t xml:space="preserve">Key elements of the model (as reported by UF and secondary coverage of the paper)</w:t>
      </w:r>
    </w:p>
    <w:p>
      <w:pPr>
        <w:pStyle w:val="Compact"/>
        <w:numPr>
          <w:ilvl w:val="0"/>
          <w:numId w:val="1001"/>
        </w:numPr>
      </w:pPr>
      <w:r>
        <w:rPr>
          <w:b/>
          <w:bCs/>
        </w:rPr>
        <w:t xml:space="preserve">AI literacy definition:</w:t>
      </w:r>
      <w:r>
        <w:t xml:space="preserve"> </w:t>
      </w:r>
      <w:r>
        <w:t xml:space="preserve">"the knowledge and understanding of AI that is necessary for individuals to participate in the broader discourse around AI and make informed decisions about its use and implications."</w:t>
      </w:r>
    </w:p>
    <w:p>
      <w:pPr>
        <w:pStyle w:val="Compact"/>
        <w:numPr>
          <w:ilvl w:val="0"/>
          <w:numId w:val="1001"/>
        </w:numPr>
      </w:pPr>
      <w:r>
        <w:rPr>
          <w:b/>
          <w:bCs/>
        </w:rPr>
        <w:t xml:space="preserve">Four core areas of AI literacy</w:t>
      </w:r>
      <w:r>
        <w:t xml:space="preserve"> </w:t>
      </w:r>
      <w:r>
        <w:t xml:space="preserve">(plus a fifth enabling category) organizing all AI coursework:</w:t>
      </w:r>
    </w:p>
    <w:p>
      <w:pPr>
        <w:pStyle w:val="Compact"/>
        <w:numPr>
          <w:ilvl w:val="1"/>
          <w:numId w:val="1002"/>
        </w:numPr>
      </w:pPr>
      <w:r>
        <w:rPr>
          <w:b/>
          <w:bCs/>
        </w:rPr>
        <w:t xml:space="preserve">Knowing and Understanding AI</w:t>
      </w:r>
      <w:r>
        <w:t xml:space="preserve"> </w:t>
      </w:r>
      <w:r>
        <w:t xml:space="preserve">— fundamental AI concepts, machine learning algorithms, training data, and system limitations/biases.</w:t>
      </w:r>
    </w:p>
    <w:p>
      <w:pPr>
        <w:pStyle w:val="Compact"/>
        <w:numPr>
          <w:ilvl w:val="1"/>
          <w:numId w:val="1002"/>
        </w:numPr>
      </w:pPr>
      <w:r>
        <w:rPr>
          <w:b/>
          <w:bCs/>
        </w:rPr>
        <w:t xml:space="preserve">Using and Applying AI</w:t>
      </w:r>
      <w:r>
        <w:t xml:space="preserve"> </w:t>
      </w:r>
      <w:r>
        <w:t xml:space="preserve">— practical competency with AI tools and platforms, problem-solving using AI, coding skills, managing large datasets.</w:t>
      </w:r>
    </w:p>
    <w:p>
      <w:pPr>
        <w:pStyle w:val="Compact"/>
        <w:numPr>
          <w:ilvl w:val="1"/>
          <w:numId w:val="1002"/>
        </w:numPr>
      </w:pPr>
      <w:r>
        <w:rPr>
          <w:b/>
          <w:bCs/>
        </w:rPr>
        <w:t xml:space="preserve">Evaluating and Creating AI</w:t>
      </w:r>
      <w:r>
        <w:t xml:space="preserve"> </w:t>
      </w:r>
      <w:r>
        <w:t xml:space="preserve">— assessing AI system quality and reliability, building ethical and fair systems, deep technical understanding, social/ethical implications.</w:t>
      </w:r>
    </w:p>
    <w:p>
      <w:pPr>
        <w:pStyle w:val="Compact"/>
        <w:numPr>
          <w:ilvl w:val="1"/>
          <w:numId w:val="1002"/>
        </w:numPr>
      </w:pPr>
      <w:r>
        <w:rPr>
          <w:b/>
          <w:bCs/>
        </w:rPr>
        <w:t xml:space="preserve">AI Ethics</w:t>
      </w:r>
      <w:r>
        <w:t xml:space="preserve"> </w:t>
      </w:r>
      <w:r>
        <w:t xml:space="preserve">— moral implications, informed deployment decisions, fairness, accountability, societal impact.</w:t>
      </w:r>
    </w:p>
    <w:p>
      <w:pPr>
        <w:pStyle w:val="Compact"/>
        <w:numPr>
          <w:ilvl w:val="1"/>
          <w:numId w:val="1002"/>
        </w:numPr>
      </w:pPr>
      <w:r>
        <w:rPr>
          <w:b/>
          <w:bCs/>
        </w:rPr>
        <w:t xml:space="preserve">Enabling AI</w:t>
      </w:r>
      <w:r>
        <w:t xml:space="preserve"> </w:t>
      </w:r>
      <w:r>
        <w:t xml:space="preserve">— supporting courses (programming, statistics) that develop prerequisite knowledge and skills. Categories 1-4 correspond to courses with &gt;50% AI content; category 5 covers 10-49% AI content.</w:t>
      </w:r>
    </w:p>
    <w:p>
      <w:pPr>
        <w:pStyle w:val="Compact"/>
        <w:numPr>
          <w:ilvl w:val="0"/>
          <w:numId w:val="1001"/>
        </w:numPr>
      </w:pPr>
      <w:r>
        <w:rPr>
          <w:b/>
          <w:bCs/>
        </w:rPr>
        <w:t xml:space="preserve">Method:</w:t>
      </w:r>
      <w:r>
        <w:t xml:space="preserve"> </w:t>
      </w:r>
      <w:r>
        <w:t xml:space="preserve">comprehensive literature review of expert AI-literacy recommendations plus a survey of UF faculty already teaching AI; catalyzed by the HiPerGator supercomputer investment and &gt;100 AI faculty hires across all 16 colleges.</w:t>
      </w:r>
    </w:p>
    <w:p>
      <w:pPr>
        <w:pStyle w:val="Compact"/>
        <w:numPr>
          <w:ilvl w:val="0"/>
          <w:numId w:val="1001"/>
        </w:numPr>
      </w:pPr>
      <w:r>
        <w:rPr>
          <w:b/>
          <w:bCs/>
        </w:rPr>
        <w:t xml:space="preserve">Programmatic vehicles:</w:t>
      </w:r>
      <w:r>
        <w:t xml:space="preserve"> </w:t>
      </w:r>
      <w:r>
        <w:t xml:space="preserve">university-wide AI Fundamentals and Applications Certificate open to all undergraduates; discipline-specific majors, minors, and certificates in all colleges; AI-focused "I-CURE" course-based undergraduate research experiences with interdisciplinary teams working on industry challenges.</w:t>
      </w:r>
    </w:p>
    <w:p>
      <w:pPr>
        <w:pStyle w:val="Compact"/>
        <w:numPr>
          <w:ilvl w:val="0"/>
          <w:numId w:val="1001"/>
        </w:numPr>
      </w:pPr>
      <w:r>
        <w:rPr>
          <w:b/>
          <w:bCs/>
        </w:rPr>
        <w:t xml:space="preserve">Institutional anchoring:</w:t>
      </w:r>
      <w:r>
        <w:t xml:space="preserve"> </w:t>
      </w:r>
      <w:r>
        <w:t xml:space="preserve">the undergraduate AI initiative doubles as UF's Quality Enhancement Plan (QEP) for SACSCOC reaccreditation — embedding the AI strategy into formal accreditation machinery.</w:t>
      </w:r>
    </w:p>
    <w:bookmarkEnd w:id="26"/>
    <w:bookmarkStart w:id="29" w:name="referenced-by"/>
    <w:p>
      <w:pPr>
        <w:pStyle w:val="Heading2"/>
      </w:pPr>
      <w:r>
        <w:t xml:space="preserve">Referenced by</w:t>
      </w:r>
    </w:p>
    <w:p>
      <w:pPr>
        <w:pStyle w:val="Compact"/>
        <w:numPr>
          <w:ilvl w:val="0"/>
          <w:numId w:val="1003"/>
        </w:numPr>
      </w:pPr>
      <w:hyperlink w:tgtFrame="_blank" r:id="rId27">
        <w:r>
          <w:rPr>
            <w:rStyle w:val="Hyperlink"/>
          </w:rPr>
          <w:t xml:space="preserve">In-Depth Report</w:t>
        </w:r>
      </w:hyperlink>
    </w:p>
    <w:p>
      <w:pPr>
        <w:pStyle w:val="Compact"/>
        <w:numPr>
          <w:ilvl w:val="0"/>
          <w:numId w:val="1003"/>
        </w:numPr>
      </w:pPr>
      <w:hyperlink w:tgtFrame="_blank" r:id="rId28">
        <w:r>
          <w:rPr>
            <w:rStyle w:val="Hyperlink"/>
          </w:rPr>
          <w:t xml:space="preserve">Summary Report</w:t>
        </w:r>
      </w:hyperlink>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2"/>
      <w:szCs w:val="22"/>
      <w:color w:val="1F1F1F"/>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hd w:color="auto" w:fill="4F2683" w:val="clear"/>
      <w:spacing w:after="160" w:before="240"/>
    </w:pPr>
    <w:rPr>
      <w:rFonts w:ascii="Calibri" w:cs="Calibri" w:hAnsi="Calibri"/>
      <w:color w:val="FFFFFF"/>
      <w:sz w:val="36"/>
      <w:szCs w:val="36"/>
      <w:b/>
    </w:rPr>
  </w:style>
  <w:style w:styleId="Heading2" w:type="paragraph">
    <w:name w:val="heading 2"/>
    <w:basedOn w:val="Normal"/>
    <w:next w:val="BodyText"/>
    <w:link w:val="Heading2Char"/>
    <w:uiPriority w:val="9"/>
    <w:semiHidden/>
    <w:unhideWhenUsed/>
    <w:qFormat/>
    <w:rsid w:val="00A10FD9"/>
    <w:pPr>
      <w:pBdr>
        <w:bottom w:color="4F2683" w:space="4" w:sz="6" w:val="single"/>
      </w:pBdr>
      <w:keepNext/>
      <w:keepLines/>
      <w:outlineLvl w:val="1"/>
      <w:spacing w:after="120" w:before="280"/>
    </w:pPr>
    <w:rPr>
      <w:rFonts w:ascii="Calibri" w:cs="Calibri" w:hAnsi="Calibri"/>
      <w:color w:val="4F2683"/>
      <w:sz w:val="29"/>
      <w:szCs w:val="29"/>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color w:val="4F2683"/>
      <w:sz w:val="25"/>
      <w:szCs w:val="25"/>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Cs/>
      <w:rFonts w:ascii="Calibri" w:cs="Calibri" w:hAnsi="Calibri"/>
      <w:color w:val="4F2683"/>
      <w:sz w:val="23"/>
      <w:szCs w:val="23"/>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4F2683" w:space="4" w:sz="24" w:val="single"/>
      </w:pBdr>
      <w:shd w:color="auto" w:fill="F3EFF9" w:val="clear"/>
      <w:spacing w:after="120" w:before="120"/>
      <w:ind w:left="240" w:right="24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2E9" w:space="0" w:sz="4" w:val="single"/>
        <w:left w:color="D9D2E9" w:space="0" w:sz="4" w:val="single"/>
        <w:bottom w:color="D9D2E9" w:space="0" w:sz="4" w:val="single"/>
        <w:right w:color="D9D2E9" w:space="0" w:sz="4" w:val="single"/>
        <w:insideH w:color="D9D2E9" w:space="0" w:sz="4" w:val="single"/>
        <w:insideV w:color="D9D2E9" w:space="0" w:sz="4" w:val="single"/>
      </w:tblBorders>
    </w:tblPr>
    <w:tblStylePr w:type="firstRow">
      <w:tblPr>
        <w:jc w:val="left"/>
        <w:tblInd w:type="dxa" w:w="0"/>
      </w:tblPr>
      <w:trPr>
        <w:jc w:val="left"/>
      </w:trPr>
      <w:tcPr>
        <w:tcBorders>
          <w:bottom w:val="single"/>
        </w:tcBorders>
        <w:vAlign w:val="bottom"/>
      </w:tcPr>
    </w:tblStylePr>
    <w:tblStylePr w:type="firstRow">
      <w:rPr>
        <w:b/>
        <w:color w:val="FFFFFF"/>
      </w:rPr>
      <w:tcPr>
        <w:shd w:color="auto" w:fill="4F268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0"/>
      <w:szCs w:val="20"/>
      <w:shd w:color="auto" w:fill="F5F3FA"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2683"/>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C9BCE0" w:space="4" w:sz="4" w:val="single"/>
        <w:left w:color="C9BCE0" w:space="4" w:sz="4" w:val="single"/>
        <w:bottom w:color="C9BCE0" w:space="4" w:sz="4" w:val="single"/>
        <w:right w:color="C9BCE0" w:space="4" w:sz="4" w:val="single"/>
      </w:pBdr>
      <w:wordWrap w:val="off"/>
      <w:shd w:color="auto" w:fill="F5F3FA" w:val="clear"/>
    </w:pPr>
    <w:rPr>
      <w:rFonts w:ascii="Consolas" w:cs="Consolas" w:hAnsi="Consolas"/>
      <w:sz w:val="20"/>
      <w:szCs w:val="20"/>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https://doi.org/10.1016/j.caeai.2023.100127"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https://www.sciencedirect.com/science/article/pii/S2666920X23000061" TargetMode="External"/><Relationship Id="rId29"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hyperlink" Target="https://tarleton.sharepoint.com/sites/StrategicInsights_njpwtl/Shared%20Documents/University%20AI%20Audit/SCHOOL%20RESEARCH%20FOR%20PAC/SCHOOLS/university-of-florida/sources/news-ufl-ai-university-model-2023.docx?web=1" TargetMode="External"/><Relationship Id="rId5" Type="http://schemas.openxmlformats.org/officeDocument/2006/relationships/fontTable" Target="fontTable.xml"/><Relationship Id="rId23" Type="http://schemas.openxmlformats.org/officeDocument/2006/relationships/hyperlink" Target="https://tarleton.sharepoint.com/sites/StrategicInsights_njpwtl/Shared%20Documents/University%20AI%20Audit/SCHOOL%20RESEARCH%20FOR%20PAC/SCHOOLS/university-of-florida/sources/ai-course-designations.docx?web=1" TargetMode="External"/><Relationship Id="rId28" Type="http://schemas.openxmlformats.org/officeDocument/2006/relationships/hyperlink" Target="https://tarleton.sharepoint.com/sites/StrategicInsights_njpwtl/Shared%20Documents/University%20AI%20Audit/SCHOOL%20RESEARCH%20FOR%20PAC/SCHOOLS/university-of-florida/summary-report.docx?web=1" TargetMode="External"/><Relationship Id="rId31" Type="http://schemas.openxmlformats.org/officeDocument/2006/relationships/customXml" Target="../customXml/item3.xml"/><Relationship Id="rId4" Type="http://schemas.openxmlformats.org/officeDocument/2006/relationships/webSettings" Target="webSettings.xml"/><Relationship Id="rId27" Type="http://schemas.openxmlformats.org/officeDocument/2006/relationships/hyperlink" Target="https://tarleton.sharepoint.com/sites/StrategicInsights_njpwtl/Shared%20Documents/University%20AI%20Audit/SCHOOL%20RESEARCH%20FOR%20PAC/SCHOOLS/university-of-florida/in-depth-report.docx?web=1" TargetMode="External"/><Relationship Id="rId22" Type="http://schemas.openxmlformats.org/officeDocument/2006/relationships/hyperlink" Target="https://tarleton.sharepoint.com/sites/StrategicInsights_njpwtl/Shared%20Documents/University%20AI%20Audit/SCHOOL%20RESEARCH%20FOR%20PAC/SCHOOLS/university-of-florida/sources/ai-across-the-curriculum.docx?web=1" TargetMode="External"/><Relationship Id="rId30"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1" Target="https://doi.org/10.1016/j.caeai.2023.100127" TargetMode="External" /><Relationship Type="http://schemas.openxmlformats.org/officeDocument/2006/relationships/hyperlink" Id="rId27" Target="https://tarleton.sharepoint.com/sites/StrategicInsights_njpwtl/Shared%20Documents/University%20AI%20Audit/SCHOOL%20RESEARCH%20FOR%20PAC/SCHOOLS/university-of-florida/in-depth-report.docx?web=1" TargetMode="External" /><Relationship Type="http://schemas.openxmlformats.org/officeDocument/2006/relationships/hyperlink" Id="rId22" Target="https://tarleton.sharepoint.com/sites/StrategicInsights_njpwtl/Shared%20Documents/University%20AI%20Audit/SCHOOL%20RESEARCH%20FOR%20PAC/SCHOOLS/university-of-florida/sources/ai-across-the-curriculum.docx?web=1" TargetMode="External" /><Relationship Type="http://schemas.openxmlformats.org/officeDocument/2006/relationships/hyperlink" Id="rId23" Target="https://tarleton.sharepoint.com/sites/StrategicInsights_njpwtl/Shared%20Documents/University%20AI%20Audit/SCHOOL%20RESEARCH%20FOR%20PAC/SCHOOLS/university-of-florida/sources/ai-course-designations.docx?web=1" TargetMode="External" /><Relationship Type="http://schemas.openxmlformats.org/officeDocument/2006/relationships/hyperlink" Id="rId24" Target="https://tarleton.sharepoint.com/sites/StrategicInsights_njpwtl/Shared%20Documents/University%20AI%20Audit/SCHOOL%20RESEARCH%20FOR%20PAC/SCHOOLS/university-of-florida/sources/news-ufl-ai-university-model-2023.docx?web=1" TargetMode="External" /><Relationship Type="http://schemas.openxmlformats.org/officeDocument/2006/relationships/hyperlink" Id="rId28" Target="https://tarleton.sharepoint.com/sites/StrategicInsights_njpwtl/Shared%20Documents/University%20AI%20Audit/SCHOOL%20RESEARCH%20FOR%20PAC/SCHOOLS/university-of-florida/summary-report.docx?web=1" TargetMode="External" /><Relationship Type="http://schemas.openxmlformats.org/officeDocument/2006/relationships/hyperlink" Id="rId20" Target="https://www.sciencedirect.com/science/article/pii/S2666920X2300006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58C4C7-D017-48ED-B58F-6A4EE6ADAB24}"/>
</file>

<file path=customXml/itemProps2.xml><?xml version="1.0" encoding="utf-8"?>
<ds:datastoreItem xmlns:ds="http://schemas.openxmlformats.org/officeDocument/2006/customXml" ds:itemID="{2ECD4265-F033-4DBA-B232-586E7F7A4C69}"/>
</file>

<file path=customXml/itemProps3.xml><?xml version="1.0" encoding="utf-8"?>
<ds:datastoreItem xmlns:ds="http://schemas.openxmlformats.org/officeDocument/2006/customXml" ds:itemID="{525F6752-9066-4218-9793-01F1EF5BFEA6}"/>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2026-07-26T02:44:56Z</dcterms:created>
  <dcterms:modified xsi:type="dcterms:W3CDTF">2026-07-26T02:44:56Z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