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de84a2bc39503cfd86d16bc305b07dd05c5b1a5"/>
    <w:p>
      <w:pPr>
        <w:pStyle w:val="Heading1"/>
      </w:pPr>
      <w:r>
        <w:t xml:space="preserve">University of Florida — One-Page AI Strategy (Summary)</w:t>
      </w:r>
    </w:p>
    <w:p>
      <w:pPr>
        <w:pStyle w:val="FirstParagraph"/>
      </w:pPr>
      <w:r>
        <w:rPr>
          <w:b/>
          <w:bCs/>
        </w:rPr>
        <w:t xml:space="preserve">Strategy title: "The AI University — AI for Everyone, Everywhere"</w:t>
      </w:r>
    </w:p>
    <w:p>
      <w:pPr>
        <w:pStyle w:val="BodyText"/>
      </w:pPr>
      <w:r>
        <w:t xml:space="preserve">The completed one-page strategy for UF, reconstructed from published evidence per the Framework Reference. Full analysis, quotes, and dates:</w:t>
      </w:r>
      <w:r>
        <w:t xml:space="preserve"> </w:t>
      </w:r>
      <w:hyperlink w:tgtFrame="_blank" r:id="rId20">
        <w:r>
          <w:rPr>
            <w:rStyle w:val="Hyperlink"/>
          </w:rPr>
          <w:t xml:space="preserve">In-Depth Report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ai-vision"/>
    <w:p>
      <w:pPr>
        <w:pStyle w:val="Heading2"/>
      </w:pPr>
      <w:r>
        <w:t xml:space="preserve">AI Vision</w:t>
      </w:r>
    </w:p>
    <w:p>
      <w:pPr>
        <w:pStyle w:val="BlockText"/>
      </w:pPr>
      <w:r>
        <w:rPr>
          <w:b/>
          <w:bCs/>
        </w:rPr>
        <w:t xml:space="preserve">"We will use AI technology so that we can achieve better AI-ready workforce preparation, research discovery, and institutional efficiency in every major, every college, and daily university operations while protecting data privacy, academic integrity, and human oversight through university-owned infrastructure and ethics-first guidelines."</w:t>
      </w:r>
    </w:p>
    <w:p>
      <w:pPr>
        <w:pStyle w:val="FirstParagraph"/>
      </w:pPr>
      <w:r>
        <w:t xml:space="preserve">Key outcomes: market leadership ("first AI university"), graduate quality (AI literacy for all), innovation (HiPerGator-scale discovery). —</w:t>
      </w:r>
      <w:r>
        <w:t xml:space="preserve"> </w:t>
      </w:r>
      <w:hyperlink w:tgtFrame="_blank" r:id="rId21">
        <w:r>
          <w:rPr>
            <w:rStyle w:val="Hyperlink"/>
          </w:rPr>
          <w:t xml:space="preserve">UF AI Hub</w:t>
        </w:r>
      </w:hyperlink>
      <w:r>
        <w:t xml:space="preserve">,</w:t>
      </w:r>
      <w:r>
        <w:t xml:space="preserve"> </w:t>
      </w:r>
      <w:hyperlink w:tgtFrame="_blank" r:id="rId22">
        <w:r>
          <w:rPr>
            <w:rStyle w:val="Hyperlink"/>
          </w:rPr>
          <w:t xml:space="preserve">Building an AI University</w:t>
        </w:r>
      </w:hyperlink>
    </w:p>
    <w:bookmarkEnd w:id="23"/>
    <w:bookmarkStart w:id="26" w:name="Xc1bbfede3ae900bbdb6086df11937858336d850"/>
    <w:p>
      <w:pPr>
        <w:pStyle w:val="Heading2"/>
      </w:pPr>
      <w:r>
        <w:t xml:space="preserve">Value —</w:t>
      </w:r>
      <w:r>
        <w:t xml:space="preserve"> </w:t>
      </w:r>
      <w:r>
        <w:rPr>
          <w:b/>
          <w:bCs/>
        </w:rPr>
        <w:t xml:space="preserve">Reinvent us / Transform (primary), Optimize (secondary)</w:t>
      </w:r>
    </w:p>
    <w:p>
      <w:pPr>
        <w:pStyle w:val="Compact"/>
        <w:numPr>
          <w:ilvl w:val="0"/>
          <w:numId w:val="1001"/>
        </w:numPr>
      </w:pPr>
      <w:r>
        <w:t xml:space="preserve">Reposition UF as the national model "AI University" and export the model (paper, case study, SEC/state sharing, K-12). —</w:t>
      </w:r>
      <w:r>
        <w:t xml:space="preserve"> </w:t>
      </w:r>
      <w:hyperlink w:tgtFrame="_blank" r:id="rId24">
        <w:r>
          <w:rPr>
            <w:rStyle w:val="Hyperlink"/>
          </w:rPr>
          <w:t xml:space="preserve">Warrington Case Study</w:t>
        </w:r>
      </w:hyperlink>
      <w:r>
        <w:t xml:space="preserve">,</w:t>
      </w:r>
      <w:r>
        <w:t xml:space="preserve"> </w:t>
      </w:r>
      <w:hyperlink w:tgtFrame="_blank" r:id="rId25">
        <w:r>
          <w:rPr>
            <w:rStyle w:val="Hyperlink"/>
          </w:rPr>
          <w:t xml:space="preserve">Southworth 2023 paper</w:t>
        </w:r>
      </w:hyperlink>
    </w:p>
    <w:p>
      <w:pPr>
        <w:pStyle w:val="Compact"/>
        <w:numPr>
          <w:ilvl w:val="0"/>
          <w:numId w:val="1001"/>
        </w:numPr>
      </w:pPr>
      <w:r>
        <w:t xml:space="preserve">"Enhance teaching, drive discovery, and boost efficiency" across all operations. —</w:t>
      </w:r>
      <w:r>
        <w:t xml:space="preserve"> </w:t>
      </w:r>
      <w:hyperlink w:tgtFrame="_blank" r:id="rId21">
        <w:r>
          <w:rPr>
            <w:rStyle w:val="Hyperlink"/>
          </w:rPr>
          <w:t xml:space="preserve">UF AI Hub</w:t>
        </w:r>
      </w:hyperlink>
    </w:p>
    <w:bookmarkEnd w:id="26"/>
    <w:bookmarkStart w:id="31" w:name="X21ca60a76c7fe78c8f0d0e434b9b3e29cefc8d0"/>
    <w:p>
      <w:pPr>
        <w:pStyle w:val="Heading2"/>
      </w:pPr>
      <w:r>
        <w:t xml:space="preserve">People &amp; Culture —</w:t>
      </w:r>
      <w:r>
        <w:t xml:space="preserve"> </w:t>
      </w:r>
      <w:r>
        <w:rPr>
          <w:b/>
          <w:bCs/>
        </w:rPr>
        <w:t xml:space="preserve">Empowerment (with Augmentation in daily use)</w:t>
      </w:r>
    </w:p>
    <w:p>
      <w:pPr>
        <w:pStyle w:val="Compact"/>
        <w:numPr>
          <w:ilvl w:val="0"/>
          <w:numId w:val="1002"/>
        </w:numPr>
      </w:pPr>
      <w:r>
        <w:t xml:space="preserve">"Prepare every student, faculty, and staff member to be empowered AI users"; "Start big or start small. Just start." —</w:t>
      </w:r>
      <w:r>
        <w:t xml:space="preserve"> </w:t>
      </w:r>
      <w:hyperlink w:tgtFrame="_blank" r:id="rId27">
        <w:r>
          <w:rPr>
            <w:rStyle w:val="Hyperlink"/>
          </w:rPr>
          <w:t xml:space="preserve">NaviGator AI Launch</w:t>
        </w:r>
      </w:hyperlink>
      <w:r>
        <w:t xml:space="preserve">,</w:t>
      </w:r>
      <w:r>
        <w:t xml:space="preserve"> </w:t>
      </w:r>
      <w:hyperlink w:tgtFrame="_blank" r:id="rId21">
        <w:r>
          <w:rPr>
            <w:rStyle w:val="Hyperlink"/>
          </w:rPr>
          <w:t xml:space="preserve">UF AI Hub</w:t>
        </w:r>
      </w:hyperlink>
    </w:p>
    <w:p>
      <w:pPr>
        <w:pStyle w:val="Compact"/>
        <w:numPr>
          <w:ilvl w:val="0"/>
          <w:numId w:val="1002"/>
        </w:numPr>
      </w:pPr>
      <w:r>
        <w:t xml:space="preserve">Tools + training at scale: AI Fundamentals certificate for any major, AI Learning Academy, AI Days, HR AI Foundations program; 100+ AI faculty hired to teach AI inside every discipline. —</w:t>
      </w:r>
      <w:r>
        <w:t xml:space="preserve"> </w:t>
      </w:r>
      <w:hyperlink w:tgtFrame="_blank" r:id="rId28">
        <w:r>
          <w:rPr>
            <w:rStyle w:val="Hyperlink"/>
          </w:rPr>
          <w:t xml:space="preserve">AI Across the Curriculum</w:t>
        </w:r>
      </w:hyperlink>
      <w:r>
        <w:t xml:space="preserve">,</w:t>
      </w:r>
      <w:r>
        <w:t xml:space="preserve"> </w:t>
      </w:r>
      <w:hyperlink w:tgtFrame="_blank" r:id="rId29">
        <w:r>
          <w:rPr>
            <w:rStyle w:val="Hyperlink"/>
          </w:rPr>
          <w:t xml:space="preserve">AI² Center</w:t>
        </w:r>
      </w:hyperlink>
    </w:p>
    <w:p>
      <w:pPr>
        <w:pStyle w:val="Compact"/>
        <w:numPr>
          <w:ilvl w:val="0"/>
          <w:numId w:val="1002"/>
        </w:numPr>
      </w:pPr>
      <w:r>
        <w:t xml:space="preserve">Humans stay in the loop; AI augments, never replaces judgment (HR and teaching guidance). —</w:t>
      </w:r>
      <w:r>
        <w:t xml:space="preserve"> </w:t>
      </w:r>
      <w:hyperlink w:tgtFrame="_blank" r:id="rId30">
        <w:r>
          <w:rPr>
            <w:rStyle w:val="Hyperlink"/>
          </w:rPr>
          <w:t xml:space="preserve">Guidelines for Use of AI</w:t>
        </w:r>
      </w:hyperlink>
    </w:p>
    <w:bookmarkEnd w:id="31"/>
    <w:bookmarkStart w:id="35" w:name="Xf740beaacafd65016da4c10eea805c21ef6c2cf"/>
    <w:p>
      <w:pPr>
        <w:pStyle w:val="Heading2"/>
      </w:pPr>
      <w:r>
        <w:t xml:space="preserve">Engineering —</w:t>
      </w:r>
      <w:r>
        <w:t xml:space="preserve"> </w:t>
      </w:r>
      <w:r>
        <w:rPr>
          <w:b/>
          <w:bCs/>
        </w:rPr>
        <w:t xml:space="preserve">Blend-preferred + Invest in all AI skills (AI-first)</w:t>
      </w:r>
    </w:p>
    <w:p>
      <w:pPr>
        <w:pStyle w:val="Compact"/>
        <w:numPr>
          <w:ilvl w:val="0"/>
          <w:numId w:val="1003"/>
        </w:numPr>
      </w:pPr>
      <w:r>
        <w:t xml:space="preserve">NaviGator AI: in-house-built secure wrapper over 26–30+ public LLMs (GPT, Gemini, Claude, Llama, Stable Diffusion...), self-hosted on UF's own HiPerGator plus contracted cloud backends. —</w:t>
      </w:r>
      <w:r>
        <w:t xml:space="preserve"> </w:t>
      </w:r>
      <w:hyperlink w:tgtFrame="_blank" r:id="rId27">
        <w:r>
          <w:rPr>
            <w:rStyle w:val="Hyperlink"/>
          </w:rPr>
          <w:t xml:space="preserve">NaviGator AI Launch</w:t>
        </w:r>
      </w:hyperlink>
      <w:r>
        <w:t xml:space="preserve">,</w:t>
      </w:r>
      <w:r>
        <w:t xml:space="preserve"> </w:t>
      </w:r>
      <w:hyperlink w:tgtFrame="_blank" r:id="rId32">
        <w:r>
          <w:rPr>
            <w:rStyle w:val="Hyperlink"/>
          </w:rPr>
          <w:t xml:space="preserve">NaviGator Chat (UFIT)</w:t>
        </w:r>
      </w:hyperlink>
    </w:p>
    <w:p>
      <w:pPr>
        <w:pStyle w:val="Compact"/>
        <w:numPr>
          <w:ilvl w:val="0"/>
          <w:numId w:val="1003"/>
        </w:numPr>
      </w:pPr>
      <w:r>
        <w:t xml:space="preserve">Own the platform layer: university-owned and -operated supercomputer, first NVIDIA DGX B200 SuperPOD in U.S. higher education (2025). —</w:t>
      </w:r>
      <w:r>
        <w:t xml:space="preserve"> </w:t>
      </w:r>
      <w:hyperlink w:tgtFrame="_blank" r:id="rId33">
        <w:r>
          <w:rPr>
            <w:rStyle w:val="Hyperlink"/>
          </w:rPr>
          <w:t xml:space="preserve">HiPerGator</w:t>
        </w:r>
      </w:hyperlink>
      <w:r>
        <w:t xml:space="preserve">,</w:t>
      </w:r>
      <w:r>
        <w:t xml:space="preserve"> </w:t>
      </w:r>
      <w:hyperlink w:tgtFrame="_blank" r:id="rId34">
        <w:r>
          <w:rPr>
            <w:rStyle w:val="Hyperlink"/>
          </w:rPr>
          <w:t xml:space="preserve">HiPerGator 4th Gen</w:t>
        </w:r>
      </w:hyperlink>
    </w:p>
    <w:p>
      <w:pPr>
        <w:pStyle w:val="Compact"/>
        <w:numPr>
          <w:ilvl w:val="0"/>
          <w:numId w:val="1003"/>
        </w:numPr>
      </w:pPr>
      <w:r>
        <w:t xml:space="preserve">Insourced skills: UFIT built NaviGator; in-house research computing facilitators/engineers; 106 AI faculty hires. —</w:t>
      </w:r>
      <w:r>
        <w:t xml:space="preserve"> </w:t>
      </w:r>
      <w:hyperlink w:tgtFrame="_blank" r:id="rId24">
        <w:r>
          <w:rPr>
            <w:rStyle w:val="Hyperlink"/>
          </w:rPr>
          <w:t xml:space="preserve">Warrington Case Study</w:t>
        </w:r>
      </w:hyperlink>
    </w:p>
    <w:bookmarkEnd w:id="35"/>
    <w:bookmarkStart w:id="36" w:name="governance--edge-ownership"/>
    <w:p>
      <w:pPr>
        <w:pStyle w:val="Heading2"/>
      </w:pPr>
      <w:r>
        <w:t xml:space="preserve">Governance —</w:t>
      </w:r>
      <w:r>
        <w:t xml:space="preserve"> </w:t>
      </w:r>
      <w:r>
        <w:rPr>
          <w:b/>
          <w:bCs/>
        </w:rPr>
        <w:t xml:space="preserve">Edge Ownership</w:t>
      </w:r>
    </w:p>
    <w:p>
      <w:pPr>
        <w:pStyle w:val="Compact"/>
        <w:numPr>
          <w:ilvl w:val="0"/>
          <w:numId w:val="1004"/>
        </w:numPr>
      </w:pPr>
      <w:r>
        <w:t xml:space="preserve">Existing policies judged "sufficiently robust" — no new AI regulations; Provost-issued guidelines (dos/don'ts, guiding principles) instead of approval gates. —</w:t>
      </w:r>
      <w:r>
        <w:t xml:space="preserve"> </w:t>
      </w:r>
      <w:hyperlink w:tgtFrame="_blank" r:id="rId30">
        <w:r>
          <w:rPr>
            <w:rStyle w:val="Hyperlink"/>
          </w:rPr>
          <w:t xml:space="preserve">Guidelines for Use of AI</w:t>
        </w:r>
      </w:hyperlink>
    </w:p>
    <w:p>
      <w:pPr>
        <w:pStyle w:val="Compact"/>
        <w:numPr>
          <w:ilvl w:val="0"/>
          <w:numId w:val="1004"/>
        </w:numPr>
      </w:pPr>
      <w:r>
        <w:t xml:space="preserve">Instructors choose course AI posture (AI-Permitted / Some AI / No AI); syllabus rules vary by college and department. —</w:t>
      </w:r>
      <w:r>
        <w:t xml:space="preserve"> </w:t>
      </w:r>
      <w:hyperlink w:tgtFrame="_blank" r:id="rId30">
        <w:r>
          <w:rPr>
            <w:rStyle w:val="Hyperlink"/>
          </w:rPr>
          <w:t xml:space="preserve">Guidelines for Use of AI</w:t>
        </w:r>
      </w:hyperlink>
    </w:p>
    <w:p>
      <w:pPr>
        <w:pStyle w:val="Compact"/>
        <w:numPr>
          <w:ilvl w:val="0"/>
          <w:numId w:val="1004"/>
        </w:numPr>
      </w:pPr>
      <w:r>
        <w:t xml:space="preserve">Central guardrails at the tool/data layer only: Integrated Risk Assessment (Fast Path) for new tools; required ethics coursework in every AI credential. —</w:t>
      </w:r>
      <w:r>
        <w:t xml:space="preserve"> </w:t>
      </w:r>
      <w:hyperlink w:tgtFrame="_blank" r:id="rId22">
        <w:r>
          <w:rPr>
            <w:rStyle w:val="Hyperlink"/>
          </w:rPr>
          <w:t xml:space="preserve">Building an AI University</w:t>
        </w:r>
      </w:hyperlink>
    </w:p>
    <w:bookmarkEnd w:id="36"/>
    <w:bookmarkStart w:id="38" w:name="organization--deeply-structured"/>
    <w:p>
      <w:pPr>
        <w:pStyle w:val="Heading2"/>
      </w:pPr>
      <w:r>
        <w:t xml:space="preserve">Organization —</w:t>
      </w:r>
      <w:r>
        <w:t xml:space="preserve"> </w:t>
      </w:r>
      <w:r>
        <w:rPr>
          <w:b/>
          <w:bCs/>
        </w:rPr>
        <w:t xml:space="preserve">Deeply Structured</w:t>
      </w:r>
    </w:p>
    <w:p>
      <w:pPr>
        <w:pStyle w:val="Compact"/>
        <w:numPr>
          <w:ilvl w:val="0"/>
          <w:numId w:val="1005"/>
        </w:numPr>
      </w:pPr>
      <w:r>
        <w:t xml:space="preserve">Provost's Office sets strategy; AI Education Committee governs course designations; AI² Center (est. 2022) is the shared-services COE; UFIT is the platform team; AI faculty embedded in all 16 colleges act as fusion teams. —</w:t>
      </w:r>
      <w:r>
        <w:t xml:space="preserve"> </w:t>
      </w:r>
      <w:hyperlink w:tgtFrame="_blank" r:id="rId29">
        <w:r>
          <w:rPr>
            <w:rStyle w:val="Hyperlink"/>
          </w:rPr>
          <w:t xml:space="preserve">AI² Center</w:t>
        </w:r>
      </w:hyperlink>
      <w:r>
        <w:t xml:space="preserve">,</w:t>
      </w:r>
      <w:r>
        <w:t xml:space="preserve"> </w:t>
      </w:r>
      <w:hyperlink w:tgtFrame="_blank" r:id="rId37">
        <w:r>
          <w:rPr>
            <w:rStyle w:val="Hyperlink"/>
          </w:rPr>
          <w:t xml:space="preserve">AI Course Designations</w:t>
        </w:r>
      </w:hyperlink>
      <w:r>
        <w:t xml:space="preserve">,</w:t>
      </w:r>
      <w:r>
        <w:t xml:space="preserve"> </w:t>
      </w:r>
      <w:hyperlink w:tgtFrame="_blank" r:id="rId28">
        <w:r>
          <w:rPr>
            <w:rStyle w:val="Hyperlink"/>
          </w:rPr>
          <w:t xml:space="preserve">AI Across the Curriculum</w:t>
        </w:r>
      </w:hyperlink>
    </w:p>
    <w:p>
      <w:pPr>
        <w:pStyle w:val="Compact"/>
        <w:numPr>
          <w:ilvl w:val="0"/>
          <w:numId w:val="1005"/>
        </w:numPr>
      </w:pPr>
      <w:r>
        <w:t xml:space="preserve">Central funding orchestration: $18.8M across 15 projects in 10 colleges (2023). —</w:t>
      </w:r>
      <w:r>
        <w:t xml:space="preserve"> </w:t>
      </w:r>
      <w:hyperlink w:tgtFrame="_blank" r:id="rId22">
        <w:r>
          <w:rPr>
            <w:rStyle w:val="Hyperlink"/>
          </w:rPr>
          <w:t xml:space="preserve">Building an AI University</w:t>
        </w:r>
      </w:hyperlink>
    </w:p>
    <w:bookmarkEnd w:id="38"/>
    <w:bookmarkStart w:id="39" w:name="Xea62d967141a1e2bd5c78b21a4b262b36406ed5"/>
    <w:p>
      <w:pPr>
        <w:pStyle w:val="Heading2"/>
      </w:pPr>
      <w:r>
        <w:t xml:space="preserve">Data —</w:t>
      </w:r>
      <w:r>
        <w:t xml:space="preserve"> </w:t>
      </w:r>
      <w:r>
        <w:rPr>
          <w:b/>
          <w:bCs/>
        </w:rPr>
        <w:t xml:space="preserve">Supercaution (tiered): sensitive data never leaves UF-owned infrastructure</w:t>
      </w:r>
    </w:p>
    <w:p>
      <w:pPr>
        <w:pStyle w:val="Compact"/>
        <w:numPr>
          <w:ilvl w:val="0"/>
          <w:numId w:val="1006"/>
        </w:numPr>
      </w:pPr>
      <w:r>
        <w:t xml:space="preserve">Restricted/sensitive data permitted only with models deployed on UF HiPerGator; prohibited with external cloud models; no user data used for model training. —</w:t>
      </w:r>
      <w:r>
        <w:t xml:space="preserve"> </w:t>
      </w:r>
      <w:hyperlink w:tgtFrame="_blank" r:id="rId30">
        <w:r>
          <w:rPr>
            <w:rStyle w:val="Hyperlink"/>
          </w:rPr>
          <w:t xml:space="preserve">Guidelines for Use of AI</w:t>
        </w:r>
      </w:hyperlink>
      <w:r>
        <w:t xml:space="preserve">,</w:t>
      </w:r>
      <w:r>
        <w:t xml:space="preserve"> </w:t>
      </w:r>
      <w:hyperlink w:tgtFrame="_blank" r:id="rId32">
        <w:r>
          <w:rPr>
            <w:rStyle w:val="Hyperlink"/>
          </w:rPr>
          <w:t xml:space="preserve">NaviGator Chat (UFIT)</w:t>
        </w:r>
      </w:hyperlink>
    </w:p>
    <w:p>
      <w:pPr>
        <w:pStyle w:val="Compact"/>
        <w:numPr>
          <w:ilvl w:val="0"/>
          <w:numId w:val="1006"/>
        </w:numPr>
      </w:pPr>
      <w:r>
        <w:t xml:space="preserve">2024 policy mandates NaviGator AI for university business; "Clean data is the oxygen of AI" (CIO Eldayrie); robust data classification + expanding 30 PB storage estate. —</w:t>
      </w:r>
      <w:r>
        <w:t xml:space="preserve"> </w:t>
      </w:r>
      <w:hyperlink w:tgtFrame="_blank" r:id="rId22">
        <w:r>
          <w:rPr>
            <w:rStyle w:val="Hyperlink"/>
          </w:rPr>
          <w:t xml:space="preserve">Building an AI University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Proof points (2025–2026):</w:t>
      </w:r>
      <w:r>
        <w:t xml:space="preserve"> </w:t>
      </w:r>
      <w:r>
        <w:t xml:space="preserve">230+ AI-designated courses in all 16 colleges · 14,000 annual AI-course enrollments · 300+ AI faculty · HiPerGator: 8,000+ users, 33M research requests/yr · NaviGator soft launch: ~1,000 users, 3.4M pages · ~$95M cumulative investment. —</w:t>
      </w:r>
      <w:r>
        <w:t xml:space="preserve"> </w:t>
      </w:r>
      <w:hyperlink w:tgtFrame="_blank" r:id="rId24">
        <w:r>
          <w:rPr>
            <w:rStyle w:val="Hyperlink"/>
          </w:rPr>
          <w:t xml:space="preserve">Warrington Case Study</w:t>
        </w:r>
      </w:hyperlink>
      <w:r>
        <w:t xml:space="preserve">,</w:t>
      </w:r>
      <w:r>
        <w:t xml:space="preserve"> </w:t>
      </w:r>
      <w:hyperlink w:tgtFrame="_blank" r:id="rId34">
        <w:r>
          <w:rPr>
            <w:rStyle w:val="Hyperlink"/>
          </w:rPr>
          <w:t xml:space="preserve">HiPerGator 4th Gen</w:t>
        </w:r>
      </w:hyperlink>
    </w:p>
    <w:p>
      <w:pPr>
        <w:pStyle w:val="BodyText"/>
      </w:pPr>
      <w:r>
        <w:t xml:space="preserve">Full evidence, timeline, outcomes, gaps:</w:t>
      </w:r>
      <w:r>
        <w:t xml:space="preserve"> </w:t>
      </w:r>
      <w:hyperlink w:tgtFrame="_blank" r:id="rId20">
        <w:r>
          <w:rPr>
            <w:rStyle w:val="Hyperlink"/>
          </w:rPr>
          <w:t xml:space="preserve">In-Depth Report</w:t>
        </w:r>
      </w:hyperlink>
      <w:r>
        <w:t xml:space="preserve"> </w:t>
      </w:r>
      <w:r>
        <w:t xml:space="preserve">· Framework: Framework Reference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9" Type="http://schemas.openxmlformats.org/officeDocument/2006/relationships/customXml" Target="../customXml/item2.xml"/><Relationship Id="rId3" Type="http://schemas.openxmlformats.org/officeDocument/2006/relationships/settings" Target="settings.xml"/><Relationship Id="rId34" Type="http://schemas.openxmlformats.org/officeDocument/2006/relationships/hyperlink" Target="https://tarleton.sharepoint.com/sites/StrategicInsights_njpwtl/Shared%20Documents/University%20AI%20Audit/SCHOOL%20RESEARCH%20FOR%20PAC/SCHOOLS/university-of-florida/sources/hipergator-4th-generation-2025.docx?web=1" TargetMode="External"/><Relationship Id="rId21" Type="http://schemas.openxmlformats.org/officeDocument/2006/relationships/hyperlink" Target="https://tarleton.sharepoint.com/sites/StrategicInsights_njpwtl/Shared%20Documents/University%20AI%20Audit/SCHOOL%20RESEARCH%20FOR%20PAC/SCHOOLS/university-of-florida/sources/uf-ai-hub.docx?web=1" TargetMode="External"/><Relationship Id="rId7" Type="http://schemas.openxmlformats.org/officeDocument/2006/relationships/footnotes" Target="footnotes.xml"/><Relationship Id="rId33" Type="http://schemas.openxmlformats.org/officeDocument/2006/relationships/hyperlink" Target="https://tarleton.sharepoint.com/sites/StrategicInsights_njpwtl/Shared%20Documents/University%20AI%20Audit/SCHOOL%20RESEARCH%20FOR%20PAC/SCHOOLS/university-of-florida/sources/hipergator.docx?web=1" TargetMode="External"/><Relationship Id="rId25" Type="http://schemas.openxmlformats.org/officeDocument/2006/relationships/hyperlink" Target="https://tarleton.sharepoint.com/sites/StrategicInsights_njpwtl/Shared%20Documents/University%20AI%20Audit/SCHOOL%20RESEARCH%20FOR%20PAC/SCHOOLS/university-of-florida/sources/southworth-2023-ai-across-the-curriculum-paper.docx?web=1" TargetMode="External"/><Relationship Id="rId38" Type="http://schemas.openxmlformats.org/officeDocument/2006/relationships/customXml" Target="../customXml/item1.xml"/><Relationship Id="rId2" Type="http://schemas.openxmlformats.org/officeDocument/2006/relationships/styles" Target="styles.xml"/><Relationship Id="rId20" Type="http://schemas.openxmlformats.org/officeDocument/2006/relationships/hyperlink" Target="https://tarleton.sharepoint.com/sites/StrategicInsights_njpwtl/Shared%20Documents/University%20AI%20Audit/SCHOOL%20RESEARCH%20FOR%20PAC/SCHOOLS/university-of-florida/in-depth-report.docx?web=1" TargetMode="External"/><Relationship Id="rId29" Type="http://schemas.openxmlformats.org/officeDocument/2006/relationships/hyperlink" Target="https://tarleton.sharepoint.com/sites/StrategicInsights_njpwtl/Shared%20Documents/University%20AI%20Audit/SCHOOL%20RESEARCH%20FOR%20PAC/SCHOOLS/university-of-florida/sources/ai2-center.docx?web=1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37" Type="http://schemas.openxmlformats.org/officeDocument/2006/relationships/hyperlink" Target="https://tarleton.sharepoint.com/sites/StrategicInsights_njpwtl/Shared%20Documents/University%20AI%20Audit/SCHOOL%20RESEARCH%20FOR%20PAC/SCHOOLS/university-of-florida/sources/ai-course-designations.docx?web=1" TargetMode="External"/><Relationship Id="rId32" Type="http://schemas.openxmlformats.org/officeDocument/2006/relationships/hyperlink" Target="https://tarleton.sharepoint.com/sites/StrategicInsights_njpwtl/Shared%20Documents/University%20AI%20Audit/SCHOOL%20RESEARCH%20FOR%20PAC/SCHOOLS/university-of-florida/sources/navigator-chat-uf-it.docx?web=1" TargetMode="External"/><Relationship Id="rId24" Type="http://schemas.openxmlformats.org/officeDocument/2006/relationships/hyperlink" Target="https://tarleton.sharepoint.com/sites/StrategicInsights_njpwtl/Shared%20Documents/University%20AI%20Audit/SCHOOL%20RESEARCH%20FOR%20PAC/SCHOOLS/university-of-florida/sources/warrington-case-study-2026.docx?web=1" TargetMode="External"/><Relationship Id="rId40" Type="http://schemas.openxmlformats.org/officeDocument/2006/relationships/customXml" Target="../customXml/item3.xml"/><Relationship Id="rId5" Type="http://schemas.openxmlformats.org/officeDocument/2006/relationships/fontTable" Target="fontTable.xml"/><Relationship Id="rId28" Type="http://schemas.openxmlformats.org/officeDocument/2006/relationships/hyperlink" Target="https://tarleton.sharepoint.com/sites/StrategicInsights_njpwtl/Shared%20Documents/University%20AI%20Audit/SCHOOL%20RESEARCH%20FOR%20PAC/SCHOOLS/university-of-florida/sources/ai-across-the-curriculum.docx?web=1" TargetMode="External"/><Relationship Id="rId4" Type="http://schemas.openxmlformats.org/officeDocument/2006/relationships/webSettings" Target="webSettings.xml"/><Relationship Id="rId22" Type="http://schemas.openxmlformats.org/officeDocument/2006/relationships/hyperlink" Target="https://tarleton.sharepoint.com/sites/StrategicInsights_njpwtl/Shared%20Documents/University%20AI%20Audit/SCHOOL%20RESEARCH%20FOR%20PAC/SCHOOLS/university-of-florida/sources/building-an-ai-university.docx?web=1" TargetMode="External"/><Relationship Id="rId30" Type="http://schemas.openxmlformats.org/officeDocument/2006/relationships/hyperlink" Target="https://tarleton.sharepoint.com/sites/StrategicInsights_njpwtl/Shared%20Documents/University%20AI%20Audit/SCHOOL%20RESEARCH%20FOR%20PAC/SCHOOLS/university-of-florida/sources/guidelines-for-use-of-ai.docx?web=1" TargetMode="External"/><Relationship Id="rId27" Type="http://schemas.openxmlformats.org/officeDocument/2006/relationships/hyperlink" Target="https://tarleton.sharepoint.com/sites/StrategicInsights_njpwtl/Shared%20Documents/University%20AI%20Audit/SCHOOL%20RESEARCH%20FOR%20PAC/SCHOOLS/university-of-florida/sources/navigator-ai-launch-2024.docx?web=1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tarleton.sharepoint.com/sites/StrategicInsights_njpwtl/Shared%20Documents/University%20AI%20Audit/SCHOOL%20RESEARCH%20FOR%20PAC/SCHOOLS/university-of-florida/in-depth-report.docx?web=1" TargetMode="External" /><Relationship Type="http://schemas.openxmlformats.org/officeDocument/2006/relationships/hyperlink" Id="rId28" Target="https://tarleton.sharepoint.com/sites/StrategicInsights_njpwtl/Shared%20Documents/University%20AI%20Audit/SCHOOL%20RESEARCH%20FOR%20PAC/SCHOOLS/university-of-florida/sources/ai-across-the-curriculum.docx?web=1" TargetMode="External" /><Relationship Type="http://schemas.openxmlformats.org/officeDocument/2006/relationships/hyperlink" Id="rId37" Target="https://tarleton.sharepoint.com/sites/StrategicInsights_njpwtl/Shared%20Documents/University%20AI%20Audit/SCHOOL%20RESEARCH%20FOR%20PAC/SCHOOLS/university-of-florida/sources/ai-course-designations.docx?web=1" TargetMode="External" /><Relationship Type="http://schemas.openxmlformats.org/officeDocument/2006/relationships/hyperlink" Id="rId29" Target="https://tarleton.sharepoint.com/sites/StrategicInsights_njpwtl/Shared%20Documents/University%20AI%20Audit/SCHOOL%20RESEARCH%20FOR%20PAC/SCHOOLS/university-of-florida/sources/ai2-center.docx?web=1" TargetMode="External" /><Relationship Type="http://schemas.openxmlformats.org/officeDocument/2006/relationships/hyperlink" Id="rId22" Target="https://tarleton.sharepoint.com/sites/StrategicInsights_njpwtl/Shared%20Documents/University%20AI%20Audit/SCHOOL%20RESEARCH%20FOR%20PAC/SCHOOLS/university-of-florida/sources/building-an-ai-university.docx?web=1" TargetMode="External" /><Relationship Type="http://schemas.openxmlformats.org/officeDocument/2006/relationships/hyperlink" Id="rId30" Target="https://tarleton.sharepoint.com/sites/StrategicInsights_njpwtl/Shared%20Documents/University%20AI%20Audit/SCHOOL%20RESEARCH%20FOR%20PAC/SCHOOLS/university-of-florida/sources/guidelines-for-use-of-ai.docx?web=1" TargetMode="External" /><Relationship Type="http://schemas.openxmlformats.org/officeDocument/2006/relationships/hyperlink" Id="rId34" Target="https://tarleton.sharepoint.com/sites/StrategicInsights_njpwtl/Shared%20Documents/University%20AI%20Audit/SCHOOL%20RESEARCH%20FOR%20PAC/SCHOOLS/university-of-florida/sources/hipergator-4th-generation-2025.docx?web=1" TargetMode="External" /><Relationship Type="http://schemas.openxmlformats.org/officeDocument/2006/relationships/hyperlink" Id="rId33" Target="https://tarleton.sharepoint.com/sites/StrategicInsights_njpwtl/Shared%20Documents/University%20AI%20Audit/SCHOOL%20RESEARCH%20FOR%20PAC/SCHOOLS/university-of-florida/sources/hipergator.docx?web=1" TargetMode="External" /><Relationship Type="http://schemas.openxmlformats.org/officeDocument/2006/relationships/hyperlink" Id="rId27" Target="https://tarleton.sharepoint.com/sites/StrategicInsights_njpwtl/Shared%20Documents/University%20AI%20Audit/SCHOOL%20RESEARCH%20FOR%20PAC/SCHOOLS/university-of-florida/sources/navigator-ai-launch-2024.docx?web=1" TargetMode="External" /><Relationship Type="http://schemas.openxmlformats.org/officeDocument/2006/relationships/hyperlink" Id="rId32" Target="https://tarleton.sharepoint.com/sites/StrategicInsights_njpwtl/Shared%20Documents/University%20AI%20Audit/SCHOOL%20RESEARCH%20FOR%20PAC/SCHOOLS/university-of-florida/sources/navigator-chat-uf-it.docx?web=1" TargetMode="External" /><Relationship Type="http://schemas.openxmlformats.org/officeDocument/2006/relationships/hyperlink" Id="rId25" Target="https://tarleton.sharepoint.com/sites/StrategicInsights_njpwtl/Shared%20Documents/University%20AI%20Audit/SCHOOL%20RESEARCH%20FOR%20PAC/SCHOOLS/university-of-florida/sources/southworth-2023-ai-across-the-curriculum-paper.docx?web=1" TargetMode="External" /><Relationship Type="http://schemas.openxmlformats.org/officeDocument/2006/relationships/hyperlink" Id="rId21" Target="https://tarleton.sharepoint.com/sites/StrategicInsights_njpwtl/Shared%20Documents/University%20AI%20Audit/SCHOOL%20RESEARCH%20FOR%20PAC/SCHOOLS/university-of-florida/sources/uf-ai-hub.docx?web=1" TargetMode="External" /><Relationship Type="http://schemas.openxmlformats.org/officeDocument/2006/relationships/hyperlink" Id="rId24" Target="https://tarleton.sharepoint.com/sites/StrategicInsights_njpwtl/Shared%20Documents/University%20AI%20Audit/SCHOOL%20RESEARCH%20FOR%20PAC/SCHOOLS/university-of-florida/sources/warrington-case-study-2026.docx?web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8124A5-B29F-4490-8DBA-C5D9A050DDF1}"/>
</file>

<file path=customXml/itemProps2.xml><?xml version="1.0" encoding="utf-8"?>
<ds:datastoreItem xmlns:ds="http://schemas.openxmlformats.org/officeDocument/2006/customXml" ds:itemID="{804BEF3A-53FE-456E-8E44-9F13BFF48DED}"/>
</file>

<file path=customXml/itemProps3.xml><?xml version="1.0" encoding="utf-8"?>
<ds:datastoreItem xmlns:ds="http://schemas.openxmlformats.org/officeDocument/2006/customXml" ds:itemID="{12E55F36-A6F4-41EA-A047-2EA15245FCF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2026-07-26T02:44:55Z</dcterms:created>
  <dcterms:modified xsi:type="dcterms:W3CDTF">2026-07-26T02:44:55Z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