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Procedimiento de Control de la Información Documentada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3"/>
          <w:szCs w:val="23"/>
        </w:rPr>
        <w:t xml:space="preserve">ISO/IEC 27001:2022 — Cláusula 7.5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documento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SGSI-DOC-002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1.6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Borrador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 — Atalaya GP SL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 (externo)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emisión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22/05/2026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 conforme a DOC-002 §4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Sin acta de aprobación de esta revisión. No acredita implantación ni firma contractual.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Historial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400"/>
        <w:gridCol w:w="4638"/>
      </w:tblGrid>
      <w:tr>
        <w:trPr>
          <w:tblHeader/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22/05/2026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Emisión inicial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05/06/2026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del documento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Ampliación de ejemplos de clasificación (§5) y alta de §5.1 (retención de datos personales).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1.1.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Precisión de §3 (regla de versionado) y §4 (tabla de tipos documentales y aprobaciones). Ver decisiones.md §16.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1.2.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Recorte del historial de versiones a una línea por entrada, con referencia a decisiones.md donde procede. Sin cambios de fondo.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1.3.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Alta de SGSI-REG-008 en el inventario de registros (§2, §4: seis registros, no cinco); alta en §5.1 de la retención de los expedientes de personal (T-05) y de los itinerarios de viaje (T-07), tratamientos identificados en SGSI-REG-008.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1.4.</w:t>
            </w:r>
          </w:p>
        </w:tc>
      </w:tr>
      <w:tr>
        <w:trPr/>
        <w:tc>
          <w:tcPr>
            <w:tcW w:type="dxa" w:w="1100"/>
          </w:tcPr>
          <w:p>
            <w:r>
              <w:t>1.5</w:t>
            </w:r>
          </w:p>
        </w:tc>
        <w:tc>
          <w:tcPr>
            <w:tcW w:type="dxa" w:w="1500"/>
          </w:tcPr>
          <w:p>
            <w:r>
              <w:t>20/09/2026</w:t>
            </w:r>
          </w:p>
        </w:tc>
        <w:tc>
          <w:tcPr>
            <w:tcW w:type="dxa" w:w="2400"/>
          </w:tcPr>
          <w:p>
            <w:r>
              <w:t>Autor del caso</w:t>
            </w:r>
          </w:p>
        </w:tc>
        <w:tc>
          <w:tcPr>
            <w:tcW w:type="dxa" w:w="4638"/>
          </w:tcPr>
          <w:p>
            <w:r>
              <w:t>Revisión de coherencia de septiembre. Deltas y verificación en docs/fase1-iso27001/correcciones_2026-09.md. Sin cambios en la fecha de corte.</w:t>
            </w:r>
          </w:p>
        </w:tc>
      </w:tr>
      <w:tr>
        <w:tc>
          <w:tcPr>
            <w:tcW w:type="dxa" w:w="1100"/>
          </w:tcPr>
          <w:p>
            <w:r>
              <w:t>1.6</w:t>
            </w:r>
          </w:p>
        </w:tc>
        <w:tc>
          <w:tcPr>
            <w:tcW w:type="dxa" w:w="1500"/>
          </w:tcPr>
          <w:p>
            <w:r>
              <w:t>27/09/2026</w:t>
            </w:r>
          </w:p>
        </w:tc>
        <w:tc>
          <w:tcPr>
            <w:tcW w:type="dxa" w:w="2400"/>
          </w:tcPr>
          <w:p>
            <w:r>
              <w:t>Autor del caso</w:t>
            </w:r>
          </w:p>
        </w:tc>
        <w:tc>
          <w:tcPr>
            <w:tcW w:type="dxa" w:w="4638"/>
          </w:tcPr>
          <w:p>
            <w:r>
              <w:t>Revisión por dominios aplicables y alcance de controles. Corte 24/07/2026 conservado. Aprobación pendiente. Deltas: revisión 2026-09-27.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Establece cómo se crea, identifica, revisa, aprueba, distribuye, protege y retira la información documentada del SGSI de Atalaya Gestión Patrimonial SL (cláusula 7.5 de ISO/IEC 27001:2022). El criterio rector es la proporcionalidad: en una organización de nueve personas, un sistema documental pesado muere en tres meses; este procedimiento define el mínimo que garantiza control real.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Identificación y codificación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Codificación y ejemplos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Documentos del SGSI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SGSI-DOC-NNN: políticas, procedimientos, normas y metodologías (p. ej., SGSI-DOC-003 Política de Seguridad de la Información).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SGSI-REG-NNN: evidencias y registros vivos (p. ej., SGSI-REG-001 Registro de riesgos, SGSI-REG-003 Declaración de Aplicabilidad, SGSI-REG-008 Registro de Actividades de Tratamiento).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Acuerdos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SGSI-ACU-NNN: acuerdos específicos con el círculo de confianza y anexos de seguridad a contratos de terceros.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Informes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SGSI-INF-NNN: informes puntuales a la propiedad o al Comité (p. ej., SGSI-INF-001 Informe ejecutivo para la propiedad).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Todo documento lleva cabecera de control (código, versión, estado, clasificación, propietario, autor, fechas), historial de versiones y pie con clasificación, código y paginación. En los registros mantenidos en libro de cálculo, la cabecera de control y el historial ocupan la hoja «Portada» del libro y el pie se configura en todas sus hojas: el soporte cambia, el requisito no.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Estados y versionado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>Estados: Borrador (en elaboración o revisión), Vigente (aprobado y en vigor) y Obsoleto (retirado, conservado como histórico). Una revisión nueva no sustituye a la vigente hasta su aprobación. Las entregas anteriores denominadas «Revisión documental pendiente de aprobación» se interpretan como Borrador. El índice identifica por documento su versión, estado y ubicación; conservar una entrega no significa que todos sus archivos estén aprobados. Versionado: 0.x para la elaboración inicial; 1.0 para la primera aprobación. Las revisiones posteriores usan el siguiente número previsto y mantienen estado Borrador hasta aprobación. Se incrementa el entero cuando cambia el alcance, los criterios de riesgo, el gobierno o la estructura de registros; el decimal para ajustes menores. La revisión de la regla y la estructura de REG-001/002 de 27/09/2026 se identifica como 2.0. El ciclo histórico de julio conserva su numeración original.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Elaboración, revisión y aprobación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Revisa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Aprueba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Política de seguridad (DOC-003)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 único (la declaración de compromiso, §3) / Comité de Seguridad Convergente (el desarrollo, §§4-9, por delegación expresa)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Metodologías, normas, políticas de desarrollo y procedimientos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Propietario del documento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 del SGSI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Propietario del registro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seis registros vigentes del sistema —SGSI-REG-001/002, REG-003, REG-004, REG-005, REG-006 y REG-008— se aprueban en sesión del Comité, por acuerdo expreso adoptado al cierre del diseño: todos contienen decisiones que la dirección debe hacer suyas, no solo datos. Un registro futuro que se limite a acumular evidencia operativa no requerirá aprobación formal, y el Comité lo hará constar al darlo de alta.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Acuerdos con terceros y círculo de confianza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 + asesoría legal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Contexto, alcance y objetivos (DOC-001, DOC-005)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Propietario del documento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Informes a la propiedad y al Comité (SGSI-INF-NNN)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Convergente; los emite la Dirección General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Revisión programada: anual como mínimo para todos los documentos vigentes, y siempre tras un incidente relevante o un cambio del contexto (SGSI-DOC-001, sección 8).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Clasificación de la información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Cuatro niveles, aplicables a toda la información en alcance, no solo a los documentos del SGSI: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38"/>
      </w:tblGrid>
      <w:tr>
        <w:trPr>
          <w:tblHeader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Ejemplos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Restringida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 exposición habilita daño directo a personas o disposición patrimonial. Acceso nominal, cifrado obligatorio en tránsito y reposo, prohibida en mensajería personal.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Rutinas, itinerarios de viaje, dispositivos de protección, pólizas personales, poderes, posiciones bancarias; existencia, fecha e importe de movimientos de efectivo o valores (SGSI-DOC-007 §6, regla E2); fichas de evaluación de destino y listas de destinatarios de itinerario (SGSI-DOC-008 §6)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Confidencial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 patrimonial, contractual o personal cuya exposición causa daño significativo.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Contratos, información fiscal, escrituras, datos del personal; registros nominales de acceso de contratas y de visitas (SGSI-DOC-006 §7 y §8); registro de indicios (SGSI-REG-004)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Operativa de la organización sin daño grave si se expone, pero no pública.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Documentos del SGSI, procedimientos, comunicaciones internas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Pública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Aprobada expresamente para difusión exterior.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pública de la política, información de la agencia de comunicación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Regla práctica: en caso de duda entre dos niveles se aplica el superior. La información de rutinas y ubicaciones de la familia es siempre Restringida, con independencia de su soporte o de quién la genere.</w:t>
      </w:r>
    </w:p>
    <w:p>
      <w:pPr>
        <w:pStyle w:val="Heading1"/>
        <w:spacing w:after="160" w:before="320"/>
      </w:pPr>
      <w:r>
        <w:rPr>
          <w:rFonts w:ascii="Calibri" w:hAnsi="Calibri"/>
          <w:b/>
          <w:sz w:val="24"/>
        </w:rPr>
        <w:t>5.1 Retención de los registros con datos personales</w:t>
      </w:r>
    </w:p>
    <w:p>
      <w:pPr>
        <w:spacing w:after="120" w:line="276"/>
        <w:jc w:val="both"/>
      </w:pPr>
      <w:r>
        <w:rPr>
          <w:rFonts w:ascii="Calibri" w:hAnsi="Calibri"/>
          <w:b w:val="0"/>
          <w:sz w:val="20"/>
        </w:rPr>
        <w:t>Los registros de acceso y de visitas introducidos por SGSI-DOC-006 constituyen tratamiento de datos personales (SGSI-REG-005, L-11) y no pueden conservarse indefinidamente por comodidad operativa. Se fijan aquí sus plazos, porque un registro sin plazo de borrado deja de ser un control y pasa a ser un riesgo por sí mismo.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  <w:tblHeader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Plazo de conservación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acceso de contratas y trabajos (DOC-006 §7)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meses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Cubre un ciclo anual completo de auditoría y permite reconstruir intervenciones sobre sistemas y zonas.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visitas no contractuales (DOC-006 §8)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Plazo mínimo para sostener la revisión semanal de correlación sin acumular información sobre relaciones personales de la familia más allá de su utilidad.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indicios (SGSI-REG-004)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meses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Los patrones de vigilancia hostil se despliegan en plazos largos; un plazo corto anula el valor de la correlación.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Grabaciones de videovigilancia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Un mes como máximo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Un mes como máximo desde la captación. La conservación excepcional se limita a las imágenes necesarias para acreditar actos contra personas, bienes o instalaciones, que se pondrán a disposición de la autoridad competente en las 72 horas desde que se conozca la existencia de la grabación pertinente (art. 22.3 LOPDGDD).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 de verificación de órdenes y movimientos (DOC-007)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años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Alineado con los plazos de conservación mercantil y con el valor probatorio del registro.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Expedientes de personal: nómina, Seguridad Social y control horario (SGSI-REG-008, T-05)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Por categoría documental; no se aplica un plazo único al expediente completo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El responsable financiero separa control horario, justificantes de Seguridad Social y documentación contable/fiscal y documenta la obligación y el cómputo aplicables en REG-005/T-05. Se retira la cita al art. 21 del Estatuto de los Trabajadores, que no regula conservación. La revisión jurídica de los plazos y el borrado correspondiente permanece abierta; no se declara cerrado el requisito por conservar todo indiscriminadamente.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Itinerarios y fichas de seguridad de destino (SGSI-DOC-008; SGSI-REG-008, T-07)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meses tras la finalización del viaje</w:t>
            </w:r>
          </w:p>
        </w:tc>
        <w:tc>
          <w:tcPr>
            <w:tcW w:type="dxa" w:w="32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Permite revisar patrones de exposición geográfica acumulada sin retener indefinidamente los desplazamientos de la familia.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/>
          <w:b w:val="0"/>
          <w:sz w:val="20"/>
        </w:rPr>
        <w:t>Vencido el plazo, el borrado es efectivo y se documenta. La conservación más allá del plazo requiere motivo escrito vinculado a un incidente o a un procedimiento en curso.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Distribución, protección y documentos externos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>Repositorio único de documentos vigentes en el servidor del family office, con acceso por rol; se prohíbe la circulación de copias locales de documentos Restringidos y Confidenciales. En el repositorio público ficticio se separan versión vigente, revisión pendiente e histórico; GitHub conserva la trazabilidad de publicación, pero una publicación no equivale a aprobación del SGSI.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información documentada de origen externo necesaria para el SGSI (contratos con terceros, pólizas, requisitos legales) se identifica y controla en el mismo repositorio, con propietario asignado.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distribución a terceros exige versión y registro de entrega; a los miembros del círculo de confianza se les entrega únicamente lo que su acuerdo específico requiere.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Anexo A. Trazabilidad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Sección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Cláusula ISO/IEC 27001:2022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 3, 4 — Identificación, estados, aprobación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7.5.1, 7.5.2, 7.5.3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— Clasificación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 A 5.12, A 5.13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— Distribución y externos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7.5.3; Anexo A 5.14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center" w:pos="4819"/>
        <w:tab w:val="right" w:pos="9638"/>
      </w:tabs>
      <w:spacing w:before="60"/>
    </w:pPr>
    <w:r>
      <w:rPr>
        <w:rFonts w:ascii="Calibri" w:cs="Calibri" w:eastAsia="Calibri" w:hAnsi="Calibri"/>
        <w:color w:val="666666"/>
        <w:sz w:val="16"/>
        <w:szCs w:val="16"/>
      </w:rPr>
      <w:t>Clasificación: Interna</w:t>
    </w:r>
    <w:r>
      <w:rPr>
        <w:rFonts w:ascii="Calibri" w:cs="Calibri" w:eastAsia="Calibri" w:hAnsi="Calibri"/>
        <w:color w:val="666666"/>
        <w:sz w:val="16"/>
        <w:szCs w:val="16"/>
      </w:rPr>
      <w:tab/>
      <w:t>SGSI-DOC-002 v1.6</w:t>
    </w:r>
    <w:r>
      <w:rPr>
        <w:rFonts w:ascii="Calibri" w:cs="Calibri" w:eastAsia="Calibri" w:hAnsi="Calibri"/>
        <w:color w:val="666666"/>
        <w:sz w:val="16"/>
        <w:szCs w:val="16"/>
      </w:rPr>
      <w:tab/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tabs>
        <w:tab w:val="right" w:pos="9638"/>
      </w:tabs>
      <w:spacing w:after="60"/>
    </w:pPr>
    <w:r>
      <w:rPr>
        <w:rFonts w:ascii="Calibri" w:cs="Calibri" w:eastAsia="Calibri" w:hAnsi="Calibri"/>
        <w:color w:val="666666"/>
        <w:sz w:val="16"/>
        <w:szCs w:val="16"/>
      </w:rPr>
      <w:t>Atalaya Gestión Patrimonial SL — Sistema de Gestión de Seguridad de la Información</w:t>
    </w:r>
    <w:r>
      <w:rPr>
        <w:rFonts w:ascii="Calibri" w:cs="Calibri" w:eastAsia="Calibri" w:hAnsi="Calibri"/>
        <w:color w:val="666666"/>
        <w:sz w:val="16"/>
        <w:szCs w:val="16"/>
      </w:rPr>
      <w:tab/>
      <w:t>SGSI-DOC-002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2026-07-07T20:26:28.409Z</dcterms:created>
  <dcterms:modified xsi:type="dcterms:W3CDTF">2026-07-07T20:26:28.410Z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