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Metodología de Gestión de Riesgos de Seguridad de la Información</w:t>
      </w:r>
    </w:p>
    <w:p>
      <w:pPr>
        <w:spacing w:after="240"/>
      </w:pPr>
      <w:r>
        <w:rPr>
          <w:rFonts w:ascii="Calibri" w:cs="Calibri" w:eastAsia="Calibri" w:hAnsi="Calibri"/>
          <w:color w:val="666666"/>
          <w:sz w:val="23"/>
          <w:szCs w:val="23"/>
        </w:rPr>
        <w:t xml:space="preserve">ISO/IEC 27001:2022 — Cláusulas 6.1.2, 6.1.3, 8.1, 8.2 y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blHeade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SGSI-DOC-004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2.0</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Borrador</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26/05/2026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26/05/2026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Emisión inicial para aprobación del Comité de Seguridad Convergente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05/06/2026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Revisión de criterios de probabilidad (§4.2) y de la regla de convergencia; alta de RSC-018 a RSC-025. Ver decisiones.md §2, §10 y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Incorporación de la verificación periódica de controles a la regla de convergencia (§6). Ver decisiones.md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Alta del validador automático como mecanismo de verificación de la regla (§6). Ver decisiones.md §17.</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Corrección del significado de la columna «Dominios» (§6) y de las interfaces del Anexo B. Ver decisiones.md §19.</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Corrección de la numeración de eslabones del Anexo B y alta de §9 (control operacional, 8.1). Ver decisiones.md §20 y §21.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1.5.</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Alta del diagrama de la regla de convergencia (Figura 1, §6).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1.7.</w:t>
            </w:r>
          </w:p>
        </w:tc>
      </w:tr>
      <w:tr>
        <w:trPr/>
        <w:tc>
          <w:tcPr>
            <w:tcW w:type="dxa" w:w="1100"/>
          </w:tcPr>
          <w:p>
            <w:r>
              <w:t>1.8</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r>
        <w:tc>
          <w:tcPr>
            <w:tcW w:type="dxa" w:w="1100"/>
          </w:tcPr>
          <w:p>
            <w:r>
              <w:t>2.0</w:t>
            </w:r>
          </w:p>
        </w:tc>
        <w:tc>
          <w:tcPr>
            <w:tcW w:type="dxa" w:w="1500"/>
          </w:tcPr>
          <w:p>
            <w:r>
              <w:t>27/09/2026</w:t>
            </w:r>
          </w:p>
        </w:tc>
        <w:tc>
          <w:tcPr>
            <w:tcW w:type="dxa" w:w="2400"/>
          </w:tcPr>
          <w:p>
            <w:r>
              <w:t>Autor del caso</w:t>
            </w:r>
          </w:p>
        </w:tc>
        <w:tc>
          <w:tcPr>
            <w:tcW w:type="dxa" w:w="4638"/>
          </w:tcPr>
          <w:p>
            <w:r>
              <w:t>Revisión por dominios aplicables y alcance de controles. Corte 24/07/2026 conservado. Aprobación pendiente. Deltas: revisión 2026-09-27.</w:t>
            </w:r>
          </w:p>
        </w:tc>
      </w:tr>
    </w:tbl>
    <w:p>
      <w:pPr>
        <w:pStyle w:val="Heading1"/>
        <w:spacing w:after="160" w:before="320"/>
      </w:pPr>
      <w:r>
        <w:rPr>
          <w:rFonts w:ascii="Calibri" w:cs="Calibri" w:eastAsia="Calibri" w:hAnsi="Calibri"/>
          <w:b/>
          <w:bCs/>
          <w:color w:val="1F3864"/>
          <w:sz w:val="26"/>
          <w:szCs w:val="26"/>
        </w:rPr>
        <w:t xml:space="preserve">1. Objeto</w:t>
      </w:r>
    </w:p>
    <w:p>
      <w:pPr>
        <w:spacing w:after="120" w:line="276"/>
        <w:jc w:val="both"/>
      </w:pPr>
      <w:r>
        <w:rPr>
          <w:rFonts w:ascii="Calibri" w:cs="Calibri" w:eastAsia="Calibri" w:hAnsi="Calibri"/>
          <w:sz w:val="21"/>
          <w:szCs w:val="21"/>
        </w:rPr>
        <w:t xml:space="preserve">Este documento define el proceso, los criterios y las escalas con los que Atalaya Gestión Patrimonial SL identifica, analiza, evalúa y trata los riesgos de seguridad de la información dentro del alcance definido en SGSI-DOC-001. La metodología cumple los requisitos mínimos de ISO/IEC 27001:2022 (resultados comparables, reproducibles y válidos) y se apoya en el enfoque basado en eventos de ISO/IEC 27005:2022.</w:t>
      </w:r>
    </w:p>
    <w:p>
      <w:pPr>
        <w:pStyle w:val="Heading1"/>
        <w:spacing w:after="160" w:before="320"/>
      </w:pPr>
      <w:r>
        <w:rPr>
          <w:rFonts w:ascii="Calibri" w:cs="Calibri" w:eastAsia="Calibri" w:hAnsi="Calibri"/>
          <w:b/>
          <w:bCs/>
          <w:color w:val="1F3864"/>
          <w:sz w:val="26"/>
          <w:szCs w:val="26"/>
        </w:rPr>
        <w:t xml:space="preserve">2. Referencias</w:t>
      </w:r>
    </w:p>
    <w:p>
      <w:pPr>
        <w:pStyle w:val="ListParagraph"/>
        <w:numPr>
          <w:ilvl w:val="0"/>
          <w:numId w:val="2"/>
        </w:numPr>
        <w:spacing w:after="80" w:line="276"/>
        <w:jc w:val="both"/>
      </w:pPr>
      <w:r>
        <w:rPr>
          <w:rFonts w:ascii="Calibri" w:cs="Calibri" w:eastAsia="Calibri" w:hAnsi="Calibri"/>
          <w:sz w:val="21"/>
          <w:szCs w:val="21"/>
        </w:rPr>
        <w:t xml:space="preserve">ISO/IEC 27001:2022, cláusulas 6.1.2 (evaluación), 6.1.3 (tratamiento), 8.1, 8.2 y 8.3 (operación).</w:t>
      </w:r>
    </w:p>
    <w:p>
      <w:pPr>
        <w:pStyle w:val="ListParagraph"/>
        <w:numPr>
          <w:ilvl w:val="0"/>
          <w:numId w:val="2"/>
        </w:numPr>
        <w:spacing w:after="80" w:line="276"/>
        <w:jc w:val="both"/>
      </w:pPr>
      <w:r>
        <w:rPr>
          <w:rFonts w:ascii="Calibri" w:cs="Calibri" w:eastAsia="Calibri" w:hAnsi="Calibri"/>
          <w:sz w:val="21"/>
          <w:szCs w:val="21"/>
        </w:rPr>
        <w:t xml:space="preserve">ISO/IEC 27005:2022, orientación sobre gestión de riesgos; enfoque basado en eventos.</w:t>
      </w:r>
    </w:p>
    <w:p>
      <w:pPr>
        <w:pStyle w:val="ListParagraph"/>
        <w:numPr>
          <w:ilvl w:val="0"/>
          <w:numId w:val="2"/>
        </w:numPr>
        <w:spacing w:after="80" w:line="276"/>
        <w:jc w:val="both"/>
      </w:pPr>
      <w:r>
        <w:rPr>
          <w:rFonts w:ascii="Calibri" w:cs="Calibri" w:eastAsia="Calibri" w:hAnsi="Calibri"/>
          <w:sz w:val="21"/>
          <w:szCs w:val="21"/>
        </w:rPr>
        <w:t xml:space="preserve">SGSI-DOC-001 Contexto y Alcance; SGSI-DOC-003 Política de Seguridad de la Información.</w:t>
      </w:r>
    </w:p>
    <w:p>
      <w:pPr>
        <w:pStyle w:val="Heading1"/>
        <w:spacing w:after="160" w:before="320"/>
      </w:pPr>
      <w:r>
        <w:rPr>
          <w:rFonts w:ascii="Calibri" w:cs="Calibri" w:eastAsia="Calibri" w:hAnsi="Calibri"/>
          <w:b/>
          <w:bCs/>
          <w:color w:val="1F3864"/>
          <w:sz w:val="26"/>
          <w:szCs w:val="26"/>
        </w:rPr>
        <w:t xml:space="preserve">3. Enfoque elegido y su justificación</w:t>
      </w:r>
    </w:p>
    <w:p>
      <w:pPr>
        <w:pStyle w:val="Heading2"/>
        <w:spacing w:after="120" w:before="240"/>
      </w:pPr>
      <w:r>
        <w:rPr>
          <w:rFonts w:ascii="Calibri" w:cs="Calibri" w:eastAsia="Calibri" w:hAnsi="Calibri"/>
          <w:b/>
          <w:bCs/>
          <w:color w:val="1F3864"/>
          <w:sz w:val="23"/>
          <w:szCs w:val="23"/>
        </w:rPr>
        <w:t xml:space="preserve">3.1 Evaluación basada en escenarios</w:t>
      </w:r>
    </w:p>
    <w:p>
      <w:pPr>
        <w:spacing w:after="120" w:line="276"/>
        <w:jc w:val="both"/>
      </w:pPr>
      <w:r>
        <w:rPr>
          <w:rFonts w:ascii="Calibri" w:cs="Calibri" w:eastAsia="Calibri" w:hAnsi="Calibri"/>
          <w:sz w:val="21"/>
          <w:szCs w:val="21"/>
        </w:rPr>
        <w:t xml:space="preserve">La unidad de análisis de esta metodología es el escenario de riesgo: una cadena de acontecimientos plausible, descrita de principio a fin, que parte de un origen (actor y motivación, o causa no intencionada), atraviesa una o varias interfaces de la organización y termina en una consecuencia para las personas, el patrimonio, la privacidad o el cumplimiento. Cada escenario se documenta, analiza y trata como un todo.</w:t>
      </w:r>
    </w:p>
    <w:p>
      <w:pPr>
        <w:spacing w:after="120" w:line="276"/>
        <w:jc w:val="both"/>
      </w:pPr>
      <w:r>
        <w:rPr>
          <w:rFonts w:ascii="Calibri" w:cs="Calibri" w:eastAsia="Calibri" w:hAnsi="Calibri"/>
          <w:sz w:val="21"/>
          <w:szCs w:val="21"/>
        </w:rPr>
        <w:t xml:space="preserve">Esta elección responde al contexto, no a una preferencia de estilo:</w:t>
      </w:r>
    </w:p>
    <w:p>
      <w:pPr>
        <w:pStyle w:val="ListParagraph"/>
        <w:numPr>
          <w:ilvl w:val="0"/>
          <w:numId w:val="2"/>
        </w:numPr>
        <w:spacing w:after="80" w:line="276"/>
        <w:jc w:val="both"/>
      </w:pPr>
      <w:r>
        <w:rPr>
          <w:rFonts w:ascii="Calibri" w:cs="Calibri" w:eastAsia="Calibri" w:hAnsi="Calibri"/>
          <w:sz w:val="21"/>
          <w:szCs w:val="21"/>
        </w:rPr>
        <w:t xml:space="preserve">Los riesgos que definen a esta organización son cadenas que cruzan los dominios físico y digital (SGSI-DOC-001, secciones 4 y 7.4). El cuasi-incidente que originó el SGSI —encargo delegado a un intermediario, aproximación al hijo mayor, extracción gradual de información y vigilancia física de confirmación— no es descomponible en pares activo-amenaza sin perder precisamente lo que lo hace peligroso: la secuencia.</w:t>
      </w:r>
    </w:p>
    <w:p>
      <w:pPr>
        <w:pStyle w:val="ListParagraph"/>
        <w:numPr>
          <w:ilvl w:val="0"/>
          <w:numId w:val="2"/>
        </w:numPr>
        <w:spacing w:after="80" w:line="276"/>
        <w:jc w:val="both"/>
      </w:pPr>
      <w:r>
        <w:rPr>
          <w:rFonts w:ascii="Calibri" w:cs="Calibri" w:eastAsia="Calibri" w:hAnsi="Calibri"/>
          <w:sz w:val="21"/>
          <w:szCs w:val="21"/>
        </w:rPr>
        <w:t xml:space="preserve">El análisis por escenarios produce resultados directamente accionables: cada control se justifica por el eslabón de la cadena que rompe, lo que facilita explicar las decisiones a una dirección no técnica y a la propiedad.</w:t>
      </w:r>
    </w:p>
    <w:p>
      <w:pPr>
        <w:pStyle w:val="ListParagraph"/>
        <w:numPr>
          <w:ilvl w:val="0"/>
          <w:numId w:val="2"/>
        </w:numPr>
        <w:spacing w:after="80" w:line="276"/>
        <w:jc w:val="both"/>
      </w:pPr>
      <w:r>
        <w:rPr>
          <w:rFonts w:ascii="Calibri" w:cs="Calibri" w:eastAsia="Calibri" w:hAnsi="Calibri"/>
          <w:sz w:val="21"/>
          <w:szCs w:val="21"/>
        </w:rPr>
        <w:t xml:space="preserve">Es proporcionado: una organización de nueve personas puede mantener vivo un catálogo de 15-25 escenarios; no puede mantener una matriz de cientos de combinaciones activo-amenaza-vulnerabilidad, que degeneraría en un documento muerto.</w:t>
      </w:r>
    </w:p>
    <w:p>
      <w:pPr>
        <w:pStyle w:val="Heading2"/>
        <w:spacing w:after="120" w:before="240"/>
      </w:pPr>
      <w:r>
        <w:rPr>
          <w:rFonts w:ascii="Calibri" w:cs="Calibri" w:eastAsia="Calibri" w:hAnsi="Calibri"/>
          <w:b/>
          <w:bCs/>
          <w:color w:val="1F3864"/>
          <w:sz w:val="23"/>
          <w:szCs w:val="23"/>
        </w:rPr>
        <w:t xml:space="preserve">3.2 Alternativas consideradas y descartadas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blHeader/>
        </w:trPr>
        <w:tc>
          <w:tcPr>
            <w:tcW w:type="dxa" w:w="2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Alternativa</w:t>
            </w:r>
          </w:p>
        </w:tc>
        <w:tc>
          <w:tcPr>
            <w:tcW w:type="dxa" w:w="7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Motivo del descarte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Análisis por activos (MAGERIT y análogos)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Diseñado para organizaciones y administraciones con grandes inventarios tecnológicos. Su exhaustividad es su virtud y su condena aquí: generaría cientos de combinaciones irrelevantes, exigiría un esfuerzo de mantenimiento inasumible y, sobre todo, no modela cadenas convergentes. El inventario de activos se mantiene igualmente (Anexo A 5.9), pero como insumo de los escenarios, no como eje del análisis.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Métodos cuantitativos (FAIR y análogos)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Requieren datos de frecuencia e impacto económico que no existen para esta organización ni para su clase de riesgo dominante (daño a personas), cuya monetización sería además éticamente cuestionable como criterio de decisión. La falsa precisión de un número es peor que una escala ordinal honesta.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Cuestionarios de cumplimiento / checklists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Evalúan presencia de controles, no riesgo. Habrían validado la situación previa al cuasi-incidente: una organización con cámaras, escoltas y antivirus, y completamente expuesta.</w:t>
            </w:r>
          </w:p>
        </w:tc>
      </w:tr>
    </w:tbl>
    <w:p>
      <w:pPr>
        <w:pStyle w:val="Heading1"/>
        <w:spacing w:after="160" w:before="320"/>
      </w:pPr>
      <w:r>
        <w:rPr>
          <w:rFonts w:ascii="Calibri" w:cs="Calibri" w:eastAsia="Calibri" w:hAnsi="Calibri"/>
          <w:b/>
          <w:bCs/>
          <w:color w:val="1F3864"/>
          <w:sz w:val="26"/>
          <w:szCs w:val="26"/>
        </w:rPr>
        <w:t xml:space="preserve">4. Criterios de riesgo</w:t>
      </w:r>
    </w:p>
    <w:p>
      <w:pPr>
        <w:pStyle w:val="Heading2"/>
        <w:spacing w:after="120" w:before="240"/>
      </w:pPr>
      <w:r>
        <w:rPr>
          <w:rFonts w:ascii="Calibri" w:cs="Calibri" w:eastAsia="Calibri" w:hAnsi="Calibri"/>
          <w:b/>
          <w:bCs/>
          <w:color w:val="1F3864"/>
          <w:sz w:val="23"/>
          <w:szCs w:val="23"/>
        </w:rPr>
        <w:t xml:space="preserve">4.1 Impacto</w:t>
      </w:r>
    </w:p>
    <w:p>
      <w:pPr>
        <w:spacing w:after="120" w:line="276"/>
        <w:jc w:val="both"/>
      </w:pPr>
      <w:r>
        <w:rPr>
          <w:rFonts w:ascii="Calibri" w:cs="Calibri" w:eastAsia="Calibri" w:hAnsi="Calibri"/>
          <w:sz w:val="21"/>
          <w:szCs w:val="21"/>
        </w:rPr>
        <w:t xml:space="preserve">El impacto de un escenario se valora en cuatro dimensiones. El nivel de impacto del escenario es el máximo de las cuatro, nunca su promedio: un riesgo grave para las personas no se diluye porque su coste económico sea menor. Esta regla es un criterio de decisión de la propiedad, expresado en la política (SGSI-DOC-003).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110"/>
        <w:gridCol w:w="2110"/>
        <w:gridCol w:w="2110"/>
        <w:gridCol w:w="2108"/>
      </w:tblGrid>
      <w:tr>
        <w:trPr>
          <w:tblHeader/>
          <w:tblHeader/>
        </w:trPr>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Nivel</w:t>
            </w:r>
          </w:p>
        </w:tc>
        <w:tc>
          <w:tcPr>
            <w:tcW w:type="dxa" w:w="211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Personas</w:t>
            </w:r>
          </w:p>
        </w:tc>
        <w:tc>
          <w:tcPr>
            <w:tcW w:type="dxa" w:w="211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Patrimonio</w:t>
            </w:r>
          </w:p>
        </w:tc>
        <w:tc>
          <w:tcPr>
            <w:tcW w:type="dxa" w:w="211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Privacidad y reputación</w:t>
            </w:r>
          </w:p>
        </w:tc>
        <w:tc>
          <w:tcPr>
            <w:tcW w:type="dxa" w:w="210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Legal y contractual</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4 Muy grave</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Daño físico grave, secuestro o extorsión consumada contra un miembro de la familia o del personal</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&gt; 1 M€ o disposición fraudulenta consumada</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pública de información de seguridad o de la vida privada de los menores</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Infracción grave con sanción y/o pérdida de cobertura aseguradora</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3 Grave</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Amenaza creíble, acoso dirigido o tentativa sobre una persona concreta</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100 k€ – 1 M€</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de información patrimonial o de rutinas a terceros hostiles</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Infracción con requerimiento o sanción de la autoridad</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 Significativo</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Situación de inseguridad percibida que altera la vida de la familia</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10 k€ – 100 k€</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limitada a terceros no hostiles</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Incumplimiento contractual subsanable</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 Menor</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Sin efecto sobre personas</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&lt; 10 k€</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interna o anecdótica</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Desviación formal sin consecuencia</w:t>
            </w:r>
          </w:p>
        </w:tc>
      </w:tr>
    </w:tbl>
    <w:p>
      <w:pPr>
        <w:pStyle w:val="Heading2"/>
        <w:spacing w:after="120" w:before="240"/>
      </w:pPr>
      <w:r>
        <w:rPr>
          <w:rFonts w:ascii="Calibri" w:cs="Calibri" w:eastAsia="Calibri" w:hAnsi="Calibri"/>
          <w:b/>
          <w:bCs/>
          <w:color w:val="1F3864"/>
          <w:sz w:val="23"/>
          <w:szCs w:val="23"/>
        </w:rPr>
        <w:t xml:space="preserve">4.2 Probabilidad</w:t>
      </w:r>
    </w:p>
    <w:p>
      <w:pPr>
        <w:spacing w:after="120" w:line="276"/>
        <w:jc w:val="both"/>
      </w:pPr>
      <w:r/>
      <w:r>
        <w:rPr>
          <w:rFonts w:ascii="Calibri" w:hAnsi="Calibri"/>
        </w:rPr>
        <w:t>La probabilidad no mide una frecuencia estadística, que esta organización no puede estimar con fiabilidad, sino el grado de exposición del escenario: cuántas condiciones se acumulan para que la cadena llegue a ocurrir. Un mismo suceso es raro o muy probable según dónde y cómo esté expuesta la organización. Las condiciones de exposición que se valoran son: información necesaria disponible en abierto (redes, prensa, registros públicos); acceso físico fácil o no controlado; persona con motivo dentro o cerca (empleado, contrata, contacto del entorno); notoriedad pública del principal; y precedente propio o en el entorno inmediato. La diferencia entre el nivel 3 y el 4 es una señal observada: el 4 exige que ya haya ocurrido algo, no que se imagine.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blHeader/>
        </w:trPr>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Nivel</w:t>
            </w:r>
          </w:p>
        </w:tc>
        <w:tc>
          <w:tcPr>
            <w:tcW w:type="dxa" w:w="7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Anclaje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4 Muy probable</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Se cumplen condiciones de exposición Y EXISTE UNA SEÑAL OBSERVADA: el escenario ya ha ocurrido en la organización o su entorno inmediato, hay indicios activos, o alguien lo ha intentado. El nivel 4 no se asigna por intuición ni por la gravedad del daño; exige haber visto algo.</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3 Probable</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Varias condiciones de exposición apiladas, sin señal observada todavía: la información necesaria está disponible, el acceso es fácil o no está controlado, y existe una persona con motivo dentro o cerca. La acumulación hace el escenario esperable aunque no conste ningún intento.</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 Posible</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Existe exposición pero las condiciones no se acumulan: falta el acceso, falta el motivo cercano, o la información no está disponible. El escenario es concebible pero no hay nada que lo empuje.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 Raro</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Ninguna condición de exposición presente. El escenario requeriría que un actor fuera expresamente a por la organización reuniendo por sí mismo capacidad, acceso e información.</w:t>
            </w:r>
          </w:p>
        </w:tc>
      </w:tr>
    </w:tbl>
    <w:p>
      <w:pPr>
        <w:pStyle w:val="Heading2"/>
        <w:spacing w:after="120" w:before="240"/>
      </w:pPr>
      <w:r>
        <w:rPr>
          <w:rFonts w:ascii="Calibri" w:cs="Calibri" w:eastAsia="Calibri" w:hAnsi="Calibri"/>
          <w:b/>
          <w:bCs/>
          <w:color w:val="1F3864"/>
          <w:sz w:val="23"/>
          <w:szCs w:val="23"/>
        </w:rPr>
        <w:t xml:space="preserve">4.3 Matriz y niveles de riesgo</w:t>
      </w:r>
    </w:p>
    <w:p>
      <w:pPr>
        <w:spacing w:after="120" w:line="276"/>
        <w:jc w:val="both"/>
      </w:pPr>
      <w:r>
        <w:rPr>
          <w:rFonts w:ascii="Calibri" w:cs="Calibri" w:eastAsia="Calibri" w:hAnsi="Calibri"/>
          <w:sz w:val="21"/>
          <w:szCs w:val="21"/>
        </w:rPr>
        <w:t xml:space="preserve">El nivel de riesgo es el producto probabilidad × impacto: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950"/>
        <w:gridCol w:w="1950"/>
        <w:gridCol w:w="1950"/>
        <w:gridCol w:w="1950"/>
      </w:tblGrid>
      <w:tr>
        <w:trPr>
          <w:tblHeader/>
          <w:tblHeader/>
        </w:trPr>
        <w:tc>
          <w:tcPr>
            <w:tcW w:type="dxa" w:w="18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Probabilidad \ Impacto</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1 Menor</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2 Significativo</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 Grave</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4 Muy grave</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4 Muy probable</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(4)</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(8)</w:t>
            </w:r>
          </w:p>
        </w:tc>
        <w:tc>
          <w:tcPr>
            <w:tcW w:type="dxa" w:w="1950"/>
            <w:tcBorders>
              <w:top w:val="single" w:color="999999" w:sz="4"/>
              <w:left w:val="single" w:color="999999" w:sz="4"/>
              <w:bottom w:val="single" w:color="999999" w:sz="4"/>
              <w:right w:val="single" w:color="999999" w:sz="4"/>
            </w:tcBorders>
            <w:shd w:fill="FF99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Crítico (12)</w:t>
            </w:r>
          </w:p>
        </w:tc>
        <w:tc>
          <w:tcPr>
            <w:tcW w:type="dxa" w:w="1950"/>
            <w:tcBorders>
              <w:top w:val="single" w:color="999999" w:sz="4"/>
              <w:left w:val="single" w:color="999999" w:sz="4"/>
              <w:bottom w:val="single" w:color="999999" w:sz="4"/>
              <w:right w:val="single" w:color="999999" w:sz="4"/>
            </w:tcBorders>
            <w:shd w:fill="FF99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Crítico (16)</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 Probable</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(3)</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(6)</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(9)</w:t>
            </w:r>
          </w:p>
        </w:tc>
        <w:tc>
          <w:tcPr>
            <w:tcW w:type="dxa" w:w="1950"/>
            <w:tcBorders>
              <w:top w:val="single" w:color="999999" w:sz="4"/>
              <w:left w:val="single" w:color="999999" w:sz="4"/>
              <w:bottom w:val="single" w:color="999999" w:sz="4"/>
              <w:right w:val="single" w:color="999999" w:sz="4"/>
            </w:tcBorders>
            <w:shd w:fill="FF99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Crítico (12)</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2 Posible</w:t>
            </w:r>
          </w:p>
        </w:tc>
        <w:tc>
          <w:tcPr>
            <w:tcW w:type="dxa" w:w="1950"/>
            <w:tcBorders>
              <w:top w:val="single" w:color="999999" w:sz="4"/>
              <w:left w:val="single" w:color="999999" w:sz="4"/>
              <w:bottom w:val="single" w:color="999999" w:sz="4"/>
              <w:right w:val="single" w:color="999999" w:sz="4"/>
            </w:tcBorders>
            <w:shd w:fill="C6E0B4"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Bajo (2)</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(4)</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(6)</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(8)</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1 Raro</w:t>
            </w:r>
          </w:p>
        </w:tc>
        <w:tc>
          <w:tcPr>
            <w:tcW w:type="dxa" w:w="1950"/>
            <w:tcBorders>
              <w:top w:val="single" w:color="999999" w:sz="4"/>
              <w:left w:val="single" w:color="999999" w:sz="4"/>
              <w:bottom w:val="single" w:color="999999" w:sz="4"/>
              <w:right w:val="single" w:color="999999" w:sz="4"/>
            </w:tcBorders>
            <w:shd w:fill="C6E0B4"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Bajo (1)</w:t>
            </w:r>
          </w:p>
        </w:tc>
        <w:tc>
          <w:tcPr>
            <w:tcW w:type="dxa" w:w="1950"/>
            <w:tcBorders>
              <w:top w:val="single" w:color="999999" w:sz="4"/>
              <w:left w:val="single" w:color="999999" w:sz="4"/>
              <w:bottom w:val="single" w:color="999999" w:sz="4"/>
              <w:right w:val="single" w:color="999999" w:sz="4"/>
            </w:tcBorders>
            <w:shd w:fill="C6E0B4"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Bajo (2)</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(3)</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(4)</w:t>
            </w:r>
          </w:p>
        </w:tc>
      </w:tr>
    </w:tbl>
    <w:p>
      <w:pPr>
        <w:pStyle w:val="Heading2"/>
        <w:spacing w:after="120" w:before="240"/>
      </w:pPr>
      <w:r>
        <w:rPr>
          <w:rFonts w:ascii="Calibri" w:cs="Calibri" w:eastAsia="Calibri" w:hAnsi="Calibri"/>
          <w:b/>
          <w:bCs/>
          <w:color w:val="1F3864"/>
          <w:sz w:val="23"/>
          <w:szCs w:val="23"/>
        </w:rPr>
        <w:t xml:space="preserve">4.4 Criterios de aceptación del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blHeader/>
        </w:trPr>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Nivel</w:t>
            </w:r>
          </w:p>
        </w:tc>
        <w:tc>
          <w:tcPr>
            <w:tcW w:type="dxa" w:w="7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Regla de aceptación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Bajo (1–2)</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Aceptable. Registro y revisión anual.</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Moderado (3–4)</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Aceptable con justificación documentada del propietario del riesgo, que es quien lo acepta (ISO/IEC 27001 6.1.3 f).</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Alto (6–9)</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Requiere plan de tratamiento. El plan lo aprueba y el riesgo residual lo acepta el propietario del riesgo, conforme a ISO/IEC 27001 6.1.3 f). Sobre ese mínimo, esta organización exige además ratificación expresa del Comité de Seguridad Convergente para todo residual de nivel Alto, registrada en acta: la norma pone la responsabilidad en una persona precisamente para que no se diluya en un órgano, y el requisito propio se suma a esa aceptación en lugar de sustituirla.</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Crítico (12–16)</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Tratamiento inmediato y prioritario. No aceptable como riesgo residual; si el tratamiento no logra reducirlo, la decisión escala a la propiedad con opciones de evitación (cambiar la actividad que lo genera).</w:t>
            </w:r>
          </w:p>
        </w:tc>
      </w:tr>
    </w:tbl>
    <w:p>
      <w:pPr>
        <w:pStyle w:val="Heading1"/>
        <w:spacing w:after="160" w:before="320"/>
      </w:pPr>
      <w:r>
        <w:rPr>
          <w:rFonts w:ascii="Calibri" w:cs="Calibri" w:eastAsia="Calibri" w:hAnsi="Calibri"/>
          <w:b/>
          <w:bCs/>
          <w:color w:val="1F3864"/>
          <w:sz w:val="26"/>
          <w:szCs w:val="26"/>
        </w:rPr>
        <w:t xml:space="preserve">5. Proceso de evaluación</w:t>
      </w:r>
    </w:p>
    <w:p>
      <w:pPr>
        <w:pStyle w:val="Heading2"/>
        <w:spacing w:after="120" w:before="240"/>
      </w:pPr>
      <w:r>
        <w:rPr>
          <w:rFonts w:ascii="Calibri" w:cs="Calibri" w:eastAsia="Calibri" w:hAnsi="Calibri"/>
          <w:b/>
          <w:bCs/>
          <w:color w:val="1F3864"/>
          <w:sz w:val="23"/>
          <w:szCs w:val="23"/>
        </w:rPr>
        <w:t xml:space="preserve">5.1 Identificación de escenarios</w:t>
      </w:r>
    </w:p>
    <w:p>
      <w:pPr>
        <w:spacing w:after="120" w:line="276"/>
        <w:jc w:val="both"/>
      </w:pPr>
      <w:r>
        <w:rPr>
          <w:rFonts w:ascii="Calibri" w:cs="Calibri" w:eastAsia="Calibri" w:hAnsi="Calibri"/>
          <w:sz w:val="21"/>
          <w:szCs w:val="21"/>
        </w:rPr>
        <w:t xml:space="preserve">El catálogo de escenarios se construye y alimenta desde cuatro fuentes, por este orden de autoridad:</w:t>
      </w:r>
    </w:p>
    <w:p>
      <w:pPr>
        <w:pStyle w:val="ListParagraph"/>
        <w:numPr>
          <w:ilvl w:val="0"/>
          <w:numId w:val="2"/>
        </w:numPr>
        <w:spacing w:after="80" w:line="276"/>
        <w:jc w:val="both"/>
      </w:pPr>
      <w:r>
        <w:rPr>
          <w:rFonts w:ascii="Calibri" w:cs="Calibri" w:eastAsia="Calibri" w:hAnsi="Calibri"/>
          <w:sz w:val="21"/>
          <w:szCs w:val="21"/>
        </w:rPr>
        <w:t xml:space="preserve">Las interfaces del alcance (SGSI-DOC-001, sección 7.4): cada interfaz debe tener al menos un escenario que la ponga a prueba. Una interfaz sin escenario asociado es una laguna de identificación, no una zona segura.</w:t>
      </w:r>
    </w:p>
    <w:p>
      <w:pPr>
        <w:pStyle w:val="ListParagraph"/>
        <w:numPr>
          <w:ilvl w:val="0"/>
          <w:numId w:val="2"/>
        </w:numPr>
        <w:spacing w:after="80" w:line="276"/>
        <w:jc w:val="both"/>
      </w:pPr>
      <w:r>
        <w:rPr>
          <w:rFonts w:ascii="Calibri" w:cs="Calibri" w:eastAsia="Calibri" w:hAnsi="Calibri"/>
          <w:sz w:val="21"/>
          <w:szCs w:val="21"/>
        </w:rPr>
        <w:t xml:space="preserve">Precedentes propios: incidentes y cuasi-incidentes de la organización.</w:t>
      </w:r>
    </w:p>
    <w:p>
      <w:r>
        <w:t>Precisión de la clasificación: un registro en papel no acredita dominio DIGITAL. C-039/C-044 son ORGANIZATIVO. La revisión de dominios identifica RSC-019 como físico y conserva ambos en RSC-020 por su cadena; HD-09 se reevalúa sin cierre operativo. No se introducen sistemas ni se alteran valoraciones inherentes.</w:t>
      </w:r>
    </w:p>
    <w:p>
      <w:pPr>
        <w:pStyle w:val="ListParagraph"/>
        <w:numPr>
          <w:ilvl w:val="0"/>
          <w:numId w:val="2"/>
        </w:numPr>
        <w:spacing w:after="80" w:line="276"/>
        <w:jc w:val="both"/>
      </w:pPr>
      <w:r>
        <w:rPr>
          <w:rFonts w:ascii="Calibri" w:cs="Calibri" w:eastAsia="Calibri" w:hAnsi="Calibri"/>
          <w:sz w:val="21"/>
          <w:szCs w:val="21"/>
        </w:rPr>
        <w:t xml:space="preserve">Inteligencia de amenazas del entorno: patrones criminales documentados en la Costa del Sol y contra perfiles comparables (grandes patrimonios, figuras públicas), aportados por el jefe de seguridad y fuentes externas (Anexo A 5.7).</w:t>
      </w:r>
    </w:p>
    <w:p>
      <w:pPr>
        <w:pStyle w:val="ListParagraph"/>
        <w:numPr>
          <w:ilvl w:val="0"/>
          <w:numId w:val="2"/>
        </w:numPr>
        <w:spacing w:after="80" w:line="276"/>
        <w:jc w:val="both"/>
      </w:pPr>
      <w:r>
        <w:rPr>
          <w:rFonts w:ascii="Calibri" w:cs="Calibri" w:eastAsia="Calibri" w:hAnsi="Calibri"/>
          <w:sz w:val="21"/>
          <w:szCs w:val="21"/>
        </w:rPr>
        <w:t xml:space="preserve">Sesiones estructuradas con el personal clave y, a través de la representante de la propiedad, con la familia: quién podría querer hacernos daño, qué sabe, qué necesitaría saber.</w:t>
      </w:r>
    </w:p>
    <w:p>
      <w:pPr>
        <w:pStyle w:val="Heading2"/>
        <w:spacing w:after="120" w:before="240"/>
      </w:pPr>
      <w:r>
        <w:rPr>
          <w:rFonts w:ascii="Calibri" w:cs="Calibri" w:eastAsia="Calibri" w:hAnsi="Calibri"/>
          <w:b/>
          <w:bCs/>
          <w:color w:val="1F3864"/>
          <w:sz w:val="23"/>
          <w:szCs w:val="23"/>
        </w:rPr>
        <w:t xml:space="preserve">5.2 Documentación de cada escenario</w:t>
      </w:r>
    </w:p>
    <w:p>
      <w:pPr>
        <w:spacing w:after="120" w:line="276"/>
        <w:jc w:val="both"/>
      </w:pPr>
      <w:r>
        <w:rPr>
          <w:rFonts w:ascii="Calibri" w:cs="Calibri" w:eastAsia="Calibri" w:hAnsi="Calibri"/>
          <w:sz w:val="21"/>
          <w:szCs w:val="21"/>
        </w:rPr>
        <w:t>Cada escenario se registra con código, título, cadena, interfaces, controles, valoración, propietario y decisión de tratamiento. Se analizan por separado sus componentes físicos y digitales; la columna «Dominios del escenario» usa Ambos, Fisico, Digital o Pendiente, y la columna «Justificación de dominios» documenta la inclusión o no aplicabilidad. Un control complementario en otro dominio no altera por sí mismo la cadena. RSC-014 queda pendiente de concretar el medio de coacción antes de excluir o acreditar el dominio físico.</w:t>
      </w:r>
    </w:p>
    <w:p>
      <w:pPr>
        <w:pStyle w:val="Heading2"/>
        <w:spacing w:after="120" w:before="240"/>
      </w:pPr>
      <w:r>
        <w:rPr>
          <w:rFonts w:ascii="Calibri" w:cs="Calibri" w:eastAsia="Calibri" w:hAnsi="Calibri"/>
          <w:b/>
          <w:bCs/>
          <w:color w:val="1F3864"/>
          <w:sz w:val="23"/>
          <w:szCs w:val="23"/>
        </w:rPr>
        <w:t xml:space="preserve">5.3 Análisis y evaluación</w:t>
      </w:r>
    </w:p>
    <w:p>
      <w:pPr>
        <w:spacing w:after="120" w:line="276"/>
        <w:jc w:val="both"/>
      </w:pPr>
      <w:r>
        <w:rPr>
          <w:rFonts w:ascii="Calibri" w:cs="Calibri" w:eastAsia="Calibri" w:hAnsi="Calibri"/>
          <w:sz w:val="21"/>
          <w:szCs w:val="21"/>
        </w:rPr>
        <w:t xml:space="preserve">La valoración la realiza el Comité de Seguridad Convergente en sesión conjunta, nunca una persona en solitario: la probabilidad de una cadena convergente no la conoce nadie individualmente, porque cada miembro ve un tramo (el jefe de seguridad, el físico; la Dirección General, el organizativo; la representante de la propiedad, el familiar). El consultor externo modera y documenta durante la implantación. Las discrepancias de valoración se resuelven a favor del valor más alto y se anotan.</w:t>
      </w:r>
    </w:p>
    <w:p>
      <w:pPr>
        <w:pStyle w:val="Heading1"/>
        <w:spacing w:after="160" w:before="320"/>
      </w:pPr>
      <w:r>
        <w:rPr>
          <w:rFonts w:ascii="Calibri" w:cs="Calibri" w:eastAsia="Calibri" w:hAnsi="Calibri"/>
          <w:b/>
          <w:bCs/>
          <w:color w:val="1F3864"/>
          <w:sz w:val="26"/>
          <w:szCs w:val="26"/>
        </w:rPr>
        <w:t xml:space="preserve">6. Tratamiento del riesgo</w:t>
      </w:r>
    </w:p>
    <w:p>
      <w:pPr>
        <w:spacing w:after="120" w:line="276"/>
        <w:jc w:val="both"/>
      </w:pPr>
      <w:r>
        <w:rPr>
          <w:rFonts w:ascii="Calibri" w:cs="Calibri" w:eastAsia="Calibri" w:hAnsi="Calibri"/>
          <w:sz w:val="21"/>
          <w:szCs w:val="21"/>
        </w:rPr>
        <w:t xml:space="preserve">Opciones de tratamiento, conforme a la taxonomía de ISO/IEC 27005 e ISO 31000 que la cláusula 6.1.3 a) de ISO/IEC 27001 permite seleccionar —la norma exige elegir opciones apropiadas, no enumera cuáles—: modificar (implantar o reforzar controles), evitar (eliminar la actividad o exposición que origina la cadena), compartir (transferencia contractual o aseguradora, con la cautela de que el daño a personas no es transferible) y retener (según los criterios de 4.4).</w:t>
      </w:r>
    </w:p>
    <w:p>
      <w:pPr>
        <w:spacing w:after="120" w:line="276"/>
        <w:jc w:val="both"/>
      </w:pPr>
      <w:r>
        <w:rPr>
          <w:rFonts w:ascii="Calibri" w:cs="Calibri" w:eastAsia="Calibri" w:hAnsi="Calibri"/>
          <w:sz w:val="21"/>
          <w:szCs w:val="21"/>
        </w:rPr>
        <w:t xml:space="preserve">Reglas de diseño del tratamiento, específicas de esta metodología:</w:t>
      </w:r>
    </w:p>
    <w:p>
      <w:pPr>
        <w:pStyle w:val="ListParagraph"/>
        <w:numPr>
          <w:ilvl w:val="0"/>
          <w:numId w:val="2"/>
        </w:numPr>
        <w:spacing w:after="80" w:line="276"/>
        <w:jc w:val="both"/>
      </w:pPr>
      <w:r>
        <w:rPr>
          <w:rFonts w:ascii="Calibri" w:cs="Calibri" w:eastAsia="Calibri" w:hAnsi="Calibri"/>
          <w:sz w:val="21"/>
          <w:szCs w:val="21"/>
        </w:rPr>
        <w:t xml:space="preserve">Los controles se seleccionan por el eslabón que rompen: cada control del plan de tratamiento debe indicar en qué punto de la cadena actúa y por qué ese punto (cuanto más temprano, mejor: romper la fase de obtención de información evita tener que ganar en la fase de ejecución).</w:t>
      </w:r>
    </w:p>
    <w:p>
      <w:pPr>
        <w:pStyle w:val="ListParagraph"/>
        <w:numPr>
          <w:ilvl w:val="0"/>
          <w:numId w:val="2"/>
        </w:numPr>
        <w:spacing w:after="80" w:line="276"/>
        <w:jc w:val="both"/>
      </w:pPr>
      <w:r>
        <w:t>En todos los escenarios se analizarán los dominios físico y digital. Para los escenarios Altos y Críticos se exigirá cobertura efectiva en cada dominio aplicable, justificando su relación con la cadena de riesgo. La no aplicabilidad deberá documentarse; la falta de análisis no equivale a no aplicabilidad. La justificación corresponde al análisis del escenario, no a las etiquetas de los controles disponibles. Un resultado favorable del validador no acredita aceptación del riesgo residual ni cumplimiento normativo. Los controles ORGANIZATIVOS siguen siendo necesarios, pero no acreditan por sí solos cobertura física o digital. La cobertura efectiva exige estado IMPLEMENTADO, evidencia no vacía, verificación no futura y vigente, y alcance GENERAL justificado. CONDICIONADO identifica medidas limitadas a un importe, vía o supuesto; PENDIENTE identifica una justificación aún no acreditada. Estos dos alcances se informan, pero no se suman como cobertura general. GENERAL no significa que un control elimine todas las ramas del escenario.</w:t>
      </w:r>
      <w:r>
        <w:rPr>
          <w:rFonts w:ascii="Calibri" w:hAnsi="Calibri"/>
        </w:rPr>
      </w:r>
    </w:p>
    <w:p>
      <w:pPr>
        <w:pStyle w:val="ListParagraph"/>
        <w:numPr>
          <w:ilvl w:val="0"/>
          <w:numId w:val="2"/>
        </w:numPr>
        <w:spacing w:after="80" w:line="276"/>
        <w:jc w:val="both"/>
      </w:pPr>
      <w:r>
        <w:rPr>
          <w:rFonts w:ascii="Calibri" w:cs="Calibri" w:eastAsia="Calibri" w:hAnsi="Calibri"/>
          <w:sz w:val="21"/>
          <w:szCs w:val="21"/>
        </w:rPr>
        <w:t xml:space="preserve">Verificación periódica de los controles: todo control del plan de tratamiento lleva asignada una periodicidad de verificación, y el registro conserva la fecha de la última verificación realizada (SGSI-REG-001, hoja Controles). La periodicidad no se ancla al nivel del escenario que el control soporta, sino a la velocidad con la que ese control pierde vigencia sin que nadie lo advierta. Se establecen tres tramos: 90 días para los controles cuyo contenido cambia con cada alta o baja de personas o con cada cambio de configuración (listas de acceso, autorizaciones de terceros, configuraciones técnicas); 180 días para las rutinas operativas, que no cambian de un mes a otro pero se relajan con la costumbre (armado de la alarma, protocolo de traslado, verificación de órdenes); y 365 días para acuerdos, normas familiares, cláusulas contractuales y formación, cuya revisión más frecuente degenera en firma automática. El criterio es deliberado: una periodicidad que la organización no va a cumplir produce un registro que miente, y un registro que miente es peor que la ausencia de registro. El vencimiento de la verificación no altera el estado del control en la Declaración de Aplicabilidad: el control sigue implantado y lo que queda en cuestión no es su existencia, sino la acreditación de su eficacia. Se trata, por tanto, como cobertura degradada del escenario y es entrada de la revisión por la dirección (SGSI-DOC-010 §3.1), no como una reclasificación del control.</w:t>
      </w:r>
    </w:p>
    <w:p>
      <w:pPr>
        <w:pStyle w:val="ListParagraph"/>
        <w:numPr>
          <w:ilvl w:val="0"/>
          <w:numId w:val="2"/>
        </w:numPr>
        <w:spacing w:after="80" w:line="276"/>
        <w:jc w:val="both"/>
      </w:pPr>
      <w:r>
        <w:rPr>
          <w:rFonts w:ascii="Calibri" w:cs="Calibri" w:eastAsia="Calibri" w:hAnsi="Calibri"/>
          <w:sz w:val="21"/>
          <w:szCs w:val="21"/>
        </w:rPr>
        <w:t xml:space="preserve">Todo control seleccionado se refleja en la Declaración de Aplicabilidad con referencia al escenario o escenarios que lo justifican. Un control sin escenario detrás es un candidato a eliminación, no un mérito.</w:t>
      </w:r>
    </w:p>
    <w:p>
      <w:pPr>
        <w:spacing w:after="200"/>
        <w:jc w:val="center"/>
      </w:pPr>
      <w:r>
        <w:rPr>
          <w:rFonts w:ascii="Calibri" w:cs="Calibri" w:eastAsia="Calibri" w:hAnsi="Calibri"/>
          <w:i/>
          <w:iCs/>
          <w:color w:val="666666"/>
          <w:sz w:val="17"/>
          <w:szCs w:val="17"/>
        </w:rPr>
        <w:t>Árbol de decisión actualizado: docs/fase1-iso27001/regla_convergencia.md, diagrama Mermaid. La figura anterior se retira porque exigía ambos dominios sin comprobar aplicabilidad.</w:t>
      </w:r>
    </w:p>
    <w:p>
      <w:pPr>
        <w:spacing w:after="120" w:line="276"/>
        <w:jc w:val="both"/>
      </w:pPr>
      <w:r>
        <w:rPr>
          <w:rFonts w:ascii="Calibri" w:cs="Calibri" w:eastAsia="Calibri" w:hAnsi="Calibri"/>
          <w:b/>
          <w:bCs/>
          <w:sz w:val="21"/>
          <w:szCs w:val="21"/>
        </w:rPr>
        <w:t xml:space="preserve">Estado de la cobertura a fecha de corte. </w:t>
      </w:r>
      <w:r>
        <w:rPr>
          <w:rFonts w:ascii="Calibri" w:cs="Calibri" w:eastAsia="Calibri" w:hAnsi="Calibri"/>
          <w:sz w:val="21"/>
          <w:szCs w:val="21"/>
        </w:rPr>
        <w:t>La cobertura efectiva exige que el control esté implantado, que su ejecución deje evidencia registrada y que su verificación se encuentre en plazo. A 24/07/2026, fecha de corte del sistema, ningún control del registro ha alcanzado el estado IMPLEMENTADO, y en consecuencia ninguno registra verificación alguna: el SGSI se encuentra en implantación y su primera auditoría interna está planificada para el primer semestre de 2027. En consecuencia, y por aplicación literal de esta regla, ningún escenario del registro alcanza todavía cobertura convergente efectiva. La columna «Dominios del escenario» de SGSI-REG-001 indica los dominios que el escenario atraviesa, no la cobertura alcanzada ni la prevista: la cobertura por dominios de cada escenario se lee en la hoja «Controles» del registro y la comprueba el validador. La verificación de la regla sobre cobertura efectiva se realiza al cierre de cada plan de tratamiento y es entrada obligatoria de la revisión por la dirección (SGSI-DOC-010 §3.1). Declararlo forma parte de la propia regla: un sistema que se apoya en un requisito verificable debe declarar cuándo aún no lo cumple.</w:t>
      </w:r>
    </w:p>
    <w:p>
      <w:pPr>
        <w:spacing w:after="120" w:line="276"/>
        <w:jc w:val="both"/>
      </w:pPr>
      <w:r>
        <w:rPr>
          <w:b/>
        </w:rPr>
        <w:t xml:space="preserve">Verificación de la regla. </w:t>
      </w:r>
      <w:r>
        <w:t>check_corpus.py contrasta las fórmulas del registro, exportación Excel–CSV y estados de la Declaración de Aplicabilidad, con excepciones expresas. project.py filtra los escenarios Altos y Críticos, lee los dominios justificados y comprueba estado, evidencia, vigencia y alcance de los controles. Devuelve: cumple cobertura de los dominios aplicables, falta física, falta digital, sin cobertura o evaluación pendiente. El modo de detalle explica implantación pendiente, evidencia ausente, verificación vencida/futura y alcance condicionado. No abre ni evalúa el contenido de una evidencia. El registro de corte y la demostración futura comparten metadatos y difieren expresamente en estados, evidencias y fechas simuladas. La revisión humana del sentido del control y la aprobación/aceptación del riesgo siguen siendo necesarias.</w:t>
      </w:r>
    </w:p>
    <w:p>
      <w:pPr>
        <w:spacing w:after="120" w:line="276"/>
        <w:jc w:val="both"/>
      </w:pPr>
      <w:r>
        <w:rPr>
          <w:rFonts w:ascii="Calibri" w:cs="Calibri" w:eastAsia="Calibri" w:hAnsi="Calibri"/>
          <w:sz w:val="21"/>
          <w:szCs w:val="21"/>
        </w:rPr>
        <w:t xml:space="preserve">El plan de tratamiento (SGSI-REG-002) recoge, por riesgo: controles elegidos, responsable de implantación, plazo, recursos y riesgo residual estimado. El riesgo residual se valora con las mismas escalas y se somete a los criterios de aceptación de 4.4.</w:t>
      </w:r>
    </w:p>
    <w:p>
      <w:pPr>
        <w:pStyle w:val="Heading1"/>
        <w:spacing w:after="160" w:before="320"/>
      </w:pPr>
      <w:r>
        <w:rPr>
          <w:rFonts w:ascii="Calibri" w:cs="Calibri" w:eastAsia="Calibri" w:hAnsi="Calibri"/>
          <w:b/>
          <w:bCs/>
          <w:color w:val="1F3864"/>
          <w:sz w:val="26"/>
          <w:szCs w:val="26"/>
        </w:rPr>
        <w:t xml:space="preserve">7. Propietarios del riesgo</w:t>
      </w:r>
    </w:p>
    <w:p>
      <w:pPr>
        <w:spacing w:after="120" w:line="276"/>
        <w:jc w:val="both"/>
      </w:pPr>
      <w:r>
        <w:rPr>
          <w:rFonts w:ascii="Calibri" w:cs="Calibri" w:eastAsia="Calibri" w:hAnsi="Calibri"/>
          <w:sz w:val="21"/>
          <w:szCs w:val="21"/>
        </w:rPr>
        <w:t xml:space="preserve">Cada escenario tiene un propietario único con autoridad real sobre la mayor parte de su cadena: la Dirección General para los organizativos y de terceros, el jefe de seguridad para los de dominante física o convergente, el responsable financiero para los de fraude y disposición, y la representante de la propiedad para los que requieren decisiones de la familia. El propietario responde de la ejecución del tratamiento y de la vigencia de la valoración; la aceptación del residual sigue las reglas de 4.4.</w:t>
      </w:r>
    </w:p>
    <w:p>
      <w:pPr>
        <w:pStyle w:val="Heading1"/>
        <w:spacing w:after="160" w:before="320"/>
      </w:pPr>
      <w:r>
        <w:rPr>
          <w:rFonts w:ascii="Calibri" w:cs="Calibri" w:eastAsia="Calibri" w:hAnsi="Calibri"/>
          <w:b/>
          <w:bCs/>
          <w:color w:val="1F3864"/>
          <w:sz w:val="26"/>
          <w:szCs w:val="26"/>
        </w:rPr>
        <w:t xml:space="preserve">8. Revisión y re-evaluación</w:t>
      </w:r>
    </w:p>
    <w:p>
      <w:pPr>
        <w:spacing w:after="120" w:line="276"/>
        <w:jc w:val="both"/>
      </w:pPr>
      <w:r>
        <w:rPr>
          <w:rFonts w:ascii="Calibri" w:cs="Calibri" w:eastAsia="Calibri" w:hAnsi="Calibri"/>
          <w:sz w:val="21"/>
          <w:szCs w:val="21"/>
        </w:rPr>
        <w:t xml:space="preserve">El catálogo completo se re-evalúa al menos una vez al año. Además, se re-evalúan los escenarios afectados ante: un incidente o cuasi-incidente; un cambio en la composición, exposición o rutinas de la familia; el alta, baja o cambio significativo de un tercero con acceso; y cambios en la estructura patrimonial o en las ubicaciones. La aparición de una nueva interfaz obliga a crear sus escenarios antes de que la interfaz entre en operación, no después.</w:t>
      </w:r>
    </w:p>
    <w:p>
      <w:pPr>
        <w:pStyle w:val="Heading1"/>
        <w:spacing w:after="160" w:before="320"/>
      </w:pPr>
      <w:r>
        <w:rPr>
          <w:rFonts w:ascii="Calibri" w:cs="Calibri" w:eastAsia="Calibri" w:hAnsi="Calibri"/>
          <w:b/>
          <w:bCs/>
          <w:color w:val="1F3864"/>
          <w:sz w:val="26"/>
          <w:szCs w:val="26"/>
        </w:rPr>
        <w:t xml:space="preserve">9. Planificación y control operacional (cláusula 8.1)</w:t>
      </w:r>
    </w:p>
    <w:p>
      <w:pPr>
        <w:spacing w:after="120" w:line="276"/>
        <w:jc w:val="both"/>
      </w:pPr>
      <w:r>
        <w:rPr>
          <w:rFonts w:ascii="Calibri" w:cs="Calibri" w:eastAsia="Calibri" w:hAnsi="Calibri"/>
          <w:sz w:val="21"/>
          <w:szCs w:val="21"/>
        </w:rPr>
        <w:t xml:space="preserve">Los procesos necesarios para cumplir los requisitos de seguridad de la información son los del plan de tratamiento (SGSI-REG-002) y los procedimientos operativos SGSI-DOC-006 a SGSI-DOC-009, cuyos criterios de ejecución están establecidos en esos mismos documentos y cuya ejecución deja la evidencia registrada que exige la definición de cobertura efectiva de la sección 6. Los cambios planificados del sistema se controlan conforme a SGSI-DOC-001 §8, con evaluación previa de su efecto sobre los escenarios; las consecuencias de los cambios no previstos se revisan en la revisión por la dirección y obligan a re-evaluar los escenarios afectados según la sección 8. Los procesos y servicios prestados externamente —el proveedor de servicios gestionados, la seguridad física, el personal doméstico y las agencias— se controlan mediante SGSI-DOC-006, que es el instrumento con el que esta organización cumple la exigencia de asegurar el control de lo provisto por terceros. Se declara expresamente porque una metodología que define cómo se decide el tratamiento y no dice cómo se opera deja sin cubrir la mitad del capítulo 8.</w:t>
      </w:r>
    </w:p>
    <w:p>
      <w:pPr>
        <w:pStyle w:val="Heading1"/>
        <w:spacing w:after="160" w:before="320"/>
      </w:pPr>
      <w:r>
        <w:rPr>
          <w:rFonts w:ascii="Calibri" w:cs="Calibri" w:eastAsia="Calibri" w:hAnsi="Calibri"/>
          <w:b/>
          <w:bCs/>
          <w:color w:val="1F3864"/>
          <w:sz w:val="26"/>
          <w:szCs w:val="26"/>
        </w:rPr>
        <w:t xml:space="preserve">Anexo A. Trazabilidad con ISO/IEC 27001:2022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Sección de este documento</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Cláusula ISO/IEC 27001:2022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4 — Criterios de riesgo y aceptación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6.1.2 a) 1) y 2); 6.1.2 b)</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5 — Proceso de evaluación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6.1.2 c), d), e); 8.2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 — Tratamiento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6.1.3; 8.3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7 — Propietarios del riesgo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6.1.2 c) 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8 — Revisión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8.2 (intervalos planificados y cambios significativos)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9 — Planificación y control operacional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8.1</w:t>
            </w:r>
          </w:p>
        </w:tc>
      </w:tr>
    </w:tbl>
    <w:p>
      <w:pPr>
        <w:pStyle w:val="Heading1"/>
        <w:spacing w:after="160" w:before="320"/>
      </w:pPr>
      <w:r>
        <w:rPr>
          <w:rFonts w:ascii="Calibri" w:cs="Calibri" w:eastAsia="Calibri" w:hAnsi="Calibri"/>
          <w:b/>
          <w:bCs/>
          <w:color w:val="1F3864"/>
          <w:sz w:val="26"/>
          <w:szCs w:val="26"/>
        </w:rPr>
        <w:t xml:space="preserve">Anexo B. Escenario resuelto de ejemplo (RSC-001)</w:t>
      </w:r>
    </w:p>
    <w:p>
      <w:pPr>
        <w:spacing w:after="120" w:line="276"/>
        <w:jc w:val="both"/>
      </w:pPr>
      <w:r>
        <w:rPr>
          <w:rFonts w:ascii="Calibri" w:cs="Calibri" w:eastAsia="Calibri" w:hAnsi="Calibri"/>
          <w:sz w:val="21"/>
          <w:szCs w:val="21"/>
        </w:rPr>
        <w:t xml:space="preserve">Aplicación completa de la metodología al escenario que originó el SGSI, ya materializado parcialmente como cuasi-incidente.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blHeader/>
        </w:trPr>
        <w:tc>
          <w:tcPr>
            <w:tcW w:type="dxa" w:w="2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Campo</w:t>
            </w:r>
          </w:p>
        </w:tc>
        <w:tc>
          <w:tcPr>
            <w:tcW w:type="dxa" w:w="73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Contenido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Código y título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RSC-001 — Captación de un miembro joven de la familia para obtención de inteligencia previa a una acción hostil</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Narrativa de la cadena</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(1) Un antiguo promotor deportivo del principal, con una discrepancia económica no resuelta desde la etapa de competición, decide reunir información para forzar una negociación en posición de ventaja. No actúa personalmente en ningún momento. (2) Encarga la obtención a un individuo del entorno local, conocido en la zona por su reputación y por su relación con el promotor. (3) El individuo se hace visible en el entorno frecuentado por el hijo mayor; es el propio hijo mayor quien busca el contacto, atraído por un perfil que idealiza. (4) Extracción gradual de información en encuentros presenciales y por mensajería: rutinas, viajes, funcionamiento de la seguridad, vehículos. (5) Vigilancia de confirmación sobre la finca. (6) Ejecución prevista: aproximación coactiva al principal, con riesgo de derivar en acción sobre la residencia o las personas.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Interfaces implicadas</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Familia (acceso de terceros no verificados al entorno del hijo mayor); Entorno social (relación no contractual con el entorno del hijo mayor, sin verificación ni norma de aviso); Físico↔Digital (la relación presencial y el rastro digital se alimentan mutuamente).</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Componentes digitales / físicos</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Digitales: perfiles públicos del hijo mayor, mensajería directa, fotografías publicadas que sitúan personas, vehículos y lugares. Físicos: presencia del individuo en el entorno del hijo mayor, vehículo empleado, estacionamientos de observación en el perímetro de la finca, rutinas de accesos y desplazamientos.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Controles existentes (situación inicial)</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Vigilancia física de la residencia, que detectó en el eslabón 5. Ninguno en los eslabones 3 y 4; los eslabones 1 y 2 —encargo y delegación— son inalcanzables para la organización, lo que es una conclusión del análisis y no una carencia del tratamiento. La detección se produjo por conocimiento local no sistematizado: un miembro del servicio de seguridad reconoció el vehículo estacionado en un punto y una hora anómalos, y posteriormente identificó ese mismo vehículo en fotografías publicadas por el hijo mayor. La cadena se rompió por una capacidad individual no repetible ni auditable —dependía de que esa persona estuviera de servicio, recordara el vehículo y relacionara ambos hechos—, no por un proceso. Es el argumento fundacional del SGSI: el control funcionó una vez y por azar.</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Impacto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Personas: 4 (la cadena termina en acción contra personas). Patrimonio: 3. Privacidad/reputación: 3. Legal: 2. Impacto del escenario (regla del máximo): 4.</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Probabilidad</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4 — Muy probable. Se acumulan todas las condiciones de exposición: información de rutinas disponible en abierto, acceso social al hijo mayor sin verificación ni norma de aviso, persona con motivo identificable en el entorno inmediato, y notoriedad pública del principal. Concurre además la señal observada que exige el nivel 4 (§4.2): el escenario ya se materializó parcialmente en la organización, con los eslabones 1 a 5 completados —los dos primeros por el instigador y los tres siguientes por el intermediario—.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Nivel de riesgo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Crítico (16). No aceptable como residual: tratamiento inmediato.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Dirección del tratamiento (desarrollo en el plan)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Eslabón 3 (digital y organizativo): configuración de privacidad de las cuentas del hijo mayor y acuerdo familiar de exposición pública, gestionados por la representante de la propiedad, que encarecen la aproximación. Eslabón 3 (organizativo): canal de comunicación de contactos sospechosos sin reproche, y norma de aviso previo de terceros introducidos por los hijos (compartida con RSC-021). Eslabón 5 (físico): registro nominal de vehículos y personas observadas en el entorno de la finca. Eslabón 5 (organizativo): cuaderno de indicios con revisión semanal conjunta de observaciones físicas y digitales, que convierte en proceso lo que en el cuasi-incidente fue una correlación fortuita. El tratamiento diseñado prevé cobertura en el dominio físico (C-004) y en el digital (C-005), sobre los eslabones 3 y 5; que esa cobertura sea además efectiva depende de la implantación y de la verificación en plazo de cada control (§6), que a fecha de corte no se han producido.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Propietario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Jefe de seguridad (cadena de dominante convergente), con la representante de la propiedad como corresponsable de los controles del ámbito familiar.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Clasificación: Interna</w:t>
    </w:r>
    <w:r>
      <w:rPr>
        <w:rFonts w:ascii="Calibri" w:cs="Calibri" w:eastAsia="Calibri" w:hAnsi="Calibri"/>
        <w:color w:val="666666"/>
        <w:sz w:val="16"/>
        <w:szCs w:val="16"/>
      </w:rPr>
      <w:tab/>
      <w:t>SGSI-DOC-004 v2.0</w:t>
    </w:r>
    <w:r>
      <w:rPr>
        <w:rFonts w:ascii="Calibri" w:cs="Calibri" w:eastAsia="Calibri" w:hAnsi="Calibri"/>
        <w:color w:val="666666"/>
        <w:sz w:val="16"/>
        <w:szCs w:val="16"/>
      </w:rPr>
      <w:tab/>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Atalaya Gestión Patrimonial SL — Sistema de Gestión de Seguridad de la Información</w:t>
    </w:r>
    <w:r>
      <w:rPr>
        <w:rFonts w:ascii="Calibri" w:cs="Calibri" w:eastAsia="Calibri" w:hAnsi="Calibri"/>
        <w:color w:val="666666"/>
        <w:sz w:val="16"/>
        <w:szCs w:val="16"/>
      </w:rPr>
      <w:tab/>
      <w:t>SGSI-DOC-004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_DOC00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2026-07-07T20:26:28.155Z</dcterms:created>
  <dcterms:modified xsi:type="dcterms:W3CDTF">2026-07-07T20:26:28.156Z</dcterms:modified>
</cp:coreProperties>
</file>

<file path=docProps/custom.xml><?xml version="1.0" encoding="utf-8"?>
<Properties xmlns="http://schemas.openxmlformats.org/officeDocument/2006/custom-properties" xmlns:vt="http://schemas.openxmlformats.org/officeDocument/2006/docPropsVTypes"/>
</file>