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Contexto de la Organización y Alcance del SGSI</w:t>
      </w:r>
    </w:p>
    <w:p>
      <w:pPr>
        <w:spacing w:after="240"/>
      </w:pPr>
      <w:r>
        <w:rPr>
          <w:rFonts w:ascii="Calibri" w:cs="Calibri" w:eastAsia="Calibri" w:hAnsi="Calibri"/>
          <w:color w:val="666666"/>
          <w:sz w:val="23"/>
          <w:szCs w:val="23"/>
        </w:rPr>
        <w:t xml:space="preserve">ISO/IEC 27001:2022 — Cláusula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19"/>
        <w:gridCol w:w="2100"/>
        <w:gridCol w:w="2719"/>
      </w:tblGrid>
      <w:tr>
        <w:trPr/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Código de documento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SGSI-DOC-001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1.8</w:t>
            </w:r>
          </w:p>
        </w:tc>
      </w:tr>
      <w:tr>
        <w:trPr/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Revisión documental — pendiente de aprobación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Clasificación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Interna</w:t>
            </w:r>
          </w:p>
        </w:tc>
      </w:tr>
      <w:tr>
        <w:trPr/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Propietario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Dirección General — Atalaya GP SL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Autor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consultor (externo)</w:t>
            </w:r>
          </w:p>
        </w:tc>
      </w:tr>
      <w:tr>
        <w:trPr/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de emisión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24/04/2026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de aprobación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Pendiente</w:t>
            </w:r>
          </w:p>
        </w:tc>
      </w:tr>
      <w:tr>
        <w:trPr/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Aprobado por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Pendiente conforme a DOC-002 §4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Registro de aprobación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Sin acta de aprobación de esta revisión. No acredita implantación ni firma contractual.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Historial de versiones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400"/>
        <w:gridCol w:w="4638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 del cambio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24/04/2026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consultor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Emisión inicial para revisión de la Dirección General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30/04/2026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Dirección General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Aprobación; ratificado por el Comité de Seguridad Convergente el 05/06/2026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24/07/2026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consultor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Alta de cuatro interfaces en §7.4 y de un riesgo del propio SGSI en §9.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24/07/2026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Comité de Seguridad Convergente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Aprobación de la revisión 1.1.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24/07/2026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consultor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Retirada de la narración de versiones del cuerpo; regla de completitud de §7.4 como norma vigente (HD-04).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24/07/2026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Comité de Seguridad Convergente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Aprobación de la revisión 1.2.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24/07/2026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consultor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Precisión de la regla de completitud de §7.4 (vocabulario cerrado de interfaces).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24/07/2026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Comité de Seguridad Convergente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Aprobación de la revisión 1.3.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24/07/2026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consultor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Corrección del número de escenarios sin interfaz declarada (cinco, no cuatro). Ver decisiones.md §19.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24/07/2026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Comité de Seguridad Convergente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Aprobación de la revisión 1.4.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24/07/2026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consultor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Corrección de la composición de la organización (§3, §5, §7.2: nueve personas, siete empleados y dos terceros T2). Ver decisiones.md §20.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24/07/2026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Comité de Seguridad Convergente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Aprobación de la revisión 1.5.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1.6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20/08/2026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El consultor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Recorte del historial de versiones a una línea por entrada, con referencia a decisiones.md donde procede. Sin cambios de fondo.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1.6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20/08/2026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Comité de Seguridad Convergente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Aprobación de la revisión 1.6.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1.7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20/08/2026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El consultor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Alta del diagrama de mapa de interfaces (Figura 1, §7.4).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1.7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20/08/2026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Comité de Seguridad Convergente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Aprobación de la revisión 1.7.</w:t>
            </w:r>
          </w:p>
        </w:tc>
      </w:tr>
      <w:tr>
        <w:trPr/>
        <w:tc>
          <w:tcPr>
            <w:tcW w:type="dxa" w:w="1100"/>
          </w:tcPr>
          <w:p>
            <w:r>
              <w:t>1.8</w:t>
            </w:r>
          </w:p>
        </w:tc>
        <w:tc>
          <w:tcPr>
            <w:tcW w:type="dxa" w:w="1500"/>
          </w:tcPr>
          <w:p>
            <w:r>
              <w:t>20/09/2026</w:t>
            </w:r>
          </w:p>
        </w:tc>
        <w:tc>
          <w:tcPr>
            <w:tcW w:type="dxa" w:w="2400"/>
          </w:tcPr>
          <w:p>
            <w:r>
              <w:t>Autor del caso</w:t>
            </w:r>
          </w:p>
        </w:tc>
        <w:tc>
          <w:tcPr>
            <w:tcW w:type="dxa" w:w="4638"/>
          </w:tcPr>
          <w:p>
            <w:r>
              <w:t>Revisión de coherencia de septiembre. Deltas y verificación en docs/fase1-iso27001/correcciones_2026-09.md. Sin cambios en la fecha de corte.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Objeto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documento establece el contexto de Atalaya Gestión Patrimonial SL (en adelante, Atalaya o la organización), identifica las partes interesadas pertinentes para su sistema de gestión de seguridad de la información (SGSI) y sus requisitos, y determina y justifica el alcance del SGSI, en cumplimiento de la cláusula 4 de ISO/IEC 27001:2022.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contexto aquí descrito es la base sobre la que se construyen la política de seguridad de la información, la evaluación de riesgos y la declaración de aplicabilidad. Cualquier modificación posterior del alcance requiere revisión de dichos documentos.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Referencias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ISO/IEC 27001:2022, cláusulas 4.1 a 4.4.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ISO/IEC 27003:2017, orientación sobre la cláusula 4.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ESC-001 Ficha de escenario (documento interno del caso).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La organización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Atalaya Gestión Patrimonial SL es el family office de la familia Gallagher: una sociedad española cuya estructura la forman nueve personas —siete empleados y dos escolta/conductor externos estables (ESC-001 §4)—, con oficina en Marbella, que gestiona el patrimonio de la familia en España, coordina a los asesores externos en Irlanda y presta soporte operativo a la vida familiar (residencias, viajes, seguridad, administración personal).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diferencia de una empresa convencional, el activo que Atalaya protege no es propio: es la información patrimonial, personal y de seguridad de una familia. La materialización de un riesgo de información no se traduce en pérdida de negocio, sino en riesgo físico, extorsivo o reputacional directo sobre personas concretas, tres de ellas menores de edad. Esta particularidad condiciona todo el SGSI.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Contexto externo (cláusula 4.1)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Cuestiones externas pertinentes para los resultados previstos del SGSI: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138"/>
        <w:gridCol w:w="260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Ámbito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Cuestión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Efecto sobre el SGSI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Entorno de amenaza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Criminalidad organizada activa en la Costa del Sol con historial documentado de vigilancia previa a asaltos en grandes residencias. Precedente propio: cuasi-incidente de ingeniería social sobre un miembro de la familia, entre diciembre de 2025 y febrero de 2026, con indicios de vigilancia física de la residencia.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confidencialidad de rutinas, ubicaciones y dispositivos de seguridad es el requisito dominante, por encima de disponibilidad e integridad.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Exposición pública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Notoriedad histórica del principal y actividad de un miembro de la familia como creador de contenido con audiencia amplia. Huella OSINT familiar elevada y fuera del control de la organización.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SGSI debe tratar información que se origina y filtra fuera de su perímetro organizativo, a través de interfaces con la familia.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Jurisdiccional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Patrimonio y sociedades en dos jurisdicciones (España e Irlanda), con flujo continuo de información fiscal y societaria entre asesores de ambos países.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intercambio seguro con terceros externos es un proceso crítico dentro del alcance.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Regulatorio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RGPD y LOPDGDD (tratamiento de datos personales, incluidos menores); obligaciones mercantiles y fiscales en España e Irlanda; condiciones de confidencialidad de pólizas de seguro personales de la familia, cuya propia existencia es información de máxima sensibilidad.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Requisitos legales y contractuales de confidencialidad que el SGSI debe identificar y cumplir (se desarrollan en el registro de requisitos legales).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Tecnológico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Dependencia total de un proveedor de servicios gestionados (MSP) local que administra red, correo, almacenamiento, videovigilancia y domótica, sin supervisión interna cualificada.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gestión de proveedores con acceso lógico y físico es un dominio de control prioritario.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Contexto interno (cláusula 4.1)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Cuestiones internas pertinentes: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Gobernanza dual e informal: la autoridad formal reside en el principal, pero la interlocución efectiva y el patrocinio del SGSI corresponden a su cónyuge y a la Dirección General. Las decisiones relevantes se toman con frecuencia por canales informales (mensajería instantánea).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Cultura de seguridad asimétrica: madurez alta en seguridad física (jefe de seguridad con experiencia, escoltas, residencia protegida) y madurez nula en seguridad de la información. Ambos dominios operan sin conexión: quien protege la finca no tiene visibilidad sobre quién administra sus cámaras.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principal minimiza el riesgo de información y rechaza los procedimientos formales; no utiliza medios digitales propios y delega la totalidad de su identidad digital (correo, firmas, credenciales) en su asistente personal. Esta concentración es a la vez una vulnerabilidad y una oportunidad: asegurar a una persona protege al principal entero.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Círculo histórico: dos personas de máxima confianza del principal disponen de acceso físico permanente (residencia) y de facultades legales amplias (poderes notariales de 2015 no revisados) sin vínculo laboral, contrato de confidencialidad ni presencia en el organigrama.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Sin inventario de activos, sin clasificación de la información, sin control documental previo. El SGSI parte de cero: no hay sistema anterior que corregir, lo que simplifica el diseño pero exige gradualidad en la implantación.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Estructura reducida (nueve personas, de las que siete son empleados): imposibilidad estructural de segregación de funciones completa; los controles compensatorios (supervisión, trazabilidad, cuatro ojos en operaciones críticas) deberán suplirla.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Partes interesadas y sus requisitos (cláusula 4.2)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Partes interesadas pertinentes al SGSI y requisitos que la organización decide tratar a través del SGSI: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Parte interesada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Necesidades y expectativas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Requisito adoptado por el SGSI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Principal y cónyuge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Protección de la familia y del patrimonio; discreción absoluta; mínima fricción en la vida diaria.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Confidencialidad de la información personal, patrimonial y de seguridad; controles proporcionados que no dependan de la disciplina digital del principal.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Hijos menores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Protección de su seguridad física y de sus datos personales; no son conscientes del riesgo que genera su exposición.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Tratamiento de la exposición digital familiar como interfaz del SGSI; normas de uso acordadas con la familia; protección reforzada de datos de menores (RGPD).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Empleados de Atalaya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Claridad sobre qué se espera de ellos; no ser señalados como sospechosos por defecto ante un incidente.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Políticas y procedimientos claros, formación, y trazabilidad que proteja también al inocente.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Círculo histórico del principal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Mantener la relación de confianza y el acceso del que disfrutan; rechazo previsible a la formalización.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Regularización del acceso físico, lógico y legal mediante acuerdos proporcionados; es un requisito del SGSI hacia ellos, no de ellos hacia el SGSI, y gestionarlo sin ruptura es condición de viabilidad del proyecto.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Asesores externos (Dublín y España)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Intercambio de información ágil para cumplir plazos fiscales y societarios.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Canal de intercambio seguro que no penalice la operativa; requisitos de confidencialidad recíprocos formalizados.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Banca privada (ES/CH/IE)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Confidencialidad de posiciones; verificación fiable de órdenes; cumplimiento de sus propios estándares de diligencia.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Procedimiento robusto de verificación de órdenes e instrucciones (antifraude); protección de la información financiera.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MSP y proveedores con acceso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Continuidad de la relación comercial; requisitos claros y asumibles.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Cláusulas de seguridad y confidencialidad en contrato; acceso concedido, registrado y revisable; derecho de auditoría.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Aseguradoras (pólizas personales de la familia)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Confidencialidad sobre la existencia y condiciones de las pólizas; deber de sigilo del tomador como condición de cobertura.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Clasificación de máxima sensibilidad para esta información; acceso restringido a dos personas.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Autoridades (AEPD, administraciones fiscales ES/IE)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Cumplimiento normativo; cooperación en caso de requerimiento.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Cumplimiento del RGPD/LOPDGDD y del registro de requisitos legales; capacidad de respuesta a requerimientos sin exponer información no requerida.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Alcance del SGSI (cláusula 4.3)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7.1 Declaración de alcance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«El sistema de gestión de seguridad de la información de Atalaya Gestión Patrimonial SL cubre la gestión de la información patrimonial, personal y de seguridad de la familia a la que presta servicio, en los procesos de administración patrimonial, coordinación de asesores externos, soporte a la vida familiar y seguridad, desarrollados desde su oficina de Marbella y la residencia principal de la familia, incluyendo las interfaces con los proveedores y terceros con acceso físico o lógico a dicha información.»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7.2 Inclusiones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Procesos: administración y reporting patrimonial; coordinación con asesores de España e Irlanda; gestión de órdenes e instrucciones financieras; gestión de viajes y agenda; gestión de residencias y personal; seguridad de personas e instalaciones en su componente de información.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Ubicaciones: oficina de Atalaya (Marbella) y residencia principal de la familia, incluida la casa de invitados. La residencia entra en alcance porque aloja activos de información esenciales: almacenamiento doméstico con documentación familiar, videovigilancia, domótica, red compartida y el despacho del principal.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Personas: las nueve personas de la estructura de Atalaya —siete empleados y dos escolta/conductor externos, estos últimos sujetos además a la política de terceros como T2 (SGSI-DOC-006 §2)— y, mediante acuerdos específicos, las personas del círculo histórico con acceso permanente.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Tecnología: la infraestructura administrada por el MSP (red, correo, almacenamiento, videovigilancia, domótica) en ambas ubicaciones, con independencia de quién la opere.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7.3 Exclusiones y su justificación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Exclusión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Justificación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Gallagher Holdings Ltd, IronWork Athletics Ltd y la participación en la promotora (Irlanda/UK)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Entidades fuera del control de gestión de Atalaya, con administración propia en otra jurisdicción. Excluirlas como organizaciones es obligado; no obstante, el flujo de información entre Atalaya y sus gestores permanece dentro del alcance como interfaz crítica (7.4). La exclusión no debilita el SGSI porque lo que Atalaya puede proteger —el canal y la información en su poder— queda cubierto.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 miembros de la familia como usuarios internos del SGSI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son empleados ni sujetos a la autoridad de la organización; imponerles políticas internas sería inaplicable y contraproducente. Su exposición digital se trata como cuestión de contexto y como interfaz gestionada mediante acuerdos familiares y acompañamiento, no mediante obligación. Esta decisión es deliberada: un alcance que pretenda gobernar la conducta de la familia fracasa en el primer mes.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Residencia secundaria (Dublín)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Gestionada en remoto por un tercero del círculo histórico, sin presencia de personal de Atalaya ni activos de información relevantes conocidos. Se excluye de esta primera implantación por proporcionalidad; la relación con su gestor sí queda en alcance como tercero con acceso. Revisable en el primer ciclo de mejora.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Prestación operativa de seguridad física (escoltas, vigilancia)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servicio físico en sí no es un proceso de información. Queda en alcance todo su componente informacional: rutas, rutinas, planos, configuraciones de CCTV y la relación contractual con el proveedor.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7.4 Interfaces y dependencias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Las interfaces son la zona donde este SGSI se juega su eficacia: la información sensible de la familia cruza constantemente los límites de la organización. Se identifican como mínimo: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538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Interfaz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Información que cruza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Dependencia / riesgo de borde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Atalaya ↔ Familia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Agenda, viajes, rutinas, decisiones patrimoniales; exposición en redes de los hijos.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organización no tiene autoridad sobre este lado; la interfaz se gestiona por acuerdo y acompañamiento.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Atalaya ↔ Círculo histórico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Acceso físico total a la residencia; facultades legales sobre sociedades; información informal por mensajería.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Acceso real superior al de la plantilla, sin ningún marco formal. Prioridad de regularización.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Atalaya ↔ Asesores Dublín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Información fiscal y societaria completa.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Canal actual: correo sin cifrar y mensajería. Origen del incidente de suplantación plausible.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Atalaya ↔ MSP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Administración de toda la infraestructura, incluida la física conectada (CCTV, domótica).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único tercero concentra el poder de administración sobre los dominios físico y digital; nadie lo supervisa.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Atalaya ↔ Banca privada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Órdenes, posiciones, poderes.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Verificación de autenticidad de instrucciones: vector de fraude directo sobre el patrimonio.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Físico ↔ Digital (interna)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CCTV, control de accesos y domótica generan y consumen información; el personal de seguridad física opera a ciegas de su capa lógica.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convergencia es constitutiva del alcance: los controles físicos y lógicos se planifican como un único sistema.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Atalaya ↔ Servicios contratados en la residencia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Presencia continuada en el interior del perímetro: vigilancia, servicio doméstico, conducción y mantenimiento. Conocimiento directo de rutinas, accesos y calendario de la familia.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Interfaz de mayor frecuencia y menor formalización. El riesgo dominante no es la deslealtad sino la inejecución: controles físicos contratados y operativos cuya ejecución no deja evidencia (RSC-018, RSC-025). La dependencia es de cumplimiento diario, no contractual.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Atalaya ↔ Contratas y trabajos eventuales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Acceso físico temporal a zonas interiores; visión directa de la disposición de la residencia, de los sistemas y de la documentación en papel.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Acceso no planificado ni acreditado: personas desconocidas circulando sin relación nominal previa (RSC-020, RSC-023). La contratación la decide con frecuencia la propiedad sin intervención de Atalaya, lo que sitúa el control aguas abajo de la decisión.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Atalaya ↔ Entorno social de la familia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Acceso físico a la residencia y trato directo con miembros de la familia, sin relación contractual ni verificación de ningún tipo.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Interfaz por la que se produjo el cuasi-incidente fundacional. No admite tratamiento contractual: se gestiona por acuerdo con la familia y por diseño del espacio (SGSI-DOC-006 §8). Su control depende del cumplimiento voluntario y así se declara (RSC-021).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Atalaya ↔ Proveedores de viaje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Itinerarios, fechas, alojamientos y composición del grupo; en destino, servicios locales con acceso a la familia.</w:t>
            </w:r>
          </w:p>
        </w:tc>
        <w:tc>
          <w:tcPr>
            <w:tcW w:type="dxa" w:w="3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información de viaje se fragmenta entre múltiples proveedores fuera del control de Atalaya y con frecuencia antes de que exista evaluación de destino (RSC-022). El riesgo de borde es la agregación: cada proveedor conoce poco, el conjunto conoce el itinerario completo.</w:t>
            </w:r>
          </w:p>
        </w:tc>
      </w:tr>
    </w:tbl>
    <w:p>
      <w:pPr>
        <w:spacing w:before="200" w:after="80"/>
        <w:jc w:val="center"/>
      </w:pPr>
      <w:r>
        <w:drawing>
          <wp:inline distT="0" distB="0" distL="0" distR="0">
            <wp:extent cx="3931920" cy="7873870"/>
            <wp:effectExtent l="0" t="0" r="0" b="0"/>
            <wp:docPr id="9011" name="Diagrama DOC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" name="Diagrama DOC0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787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Figura 1. Mapa de interfaces del alcance del SGSI (SGSI-DOC-001 §7.4).</w:t>
      </w:r>
    </w:p>
    <w:p>
      <w:pPr>
        <w:spacing w:after="120" w:line="276"/>
        <w:jc w:val="both"/>
      </w:pPr>
      <w:r>
        <w:rPr>
          <w:rFonts w:ascii="Calibri" w:hAnsi="Calibri"/>
          <w:b w:val="0"/>
          <w:sz w:val="20"/>
        </w:rPr>
        <w:t>Regla de completitud (SGSI-DOC-004 §5.1): toda interfaz declarada debe tener al menos un escenario de riesgo que la ponga a prueba, y todo escenario debe poder situarse en una interfaz. Cinco escenarios del registro —RSC-018, RSC-020, RSC-021, RSC-022 y RSC-025— no encontraban interfaz donde situarse: la descripción del alcance recogía las interfaces por las que circula información y no aquellas por las que circulan personas. Las cuatro últimas interfaces de la tabla anterior cubren esa laguna. El hallazgo lo produjo el propio sistema y consta registrado como HD-04 (SGSI-DOC-010 §4.1 y SGSI-REG-006). La regla se comprueba sobre la columna «Interfaz» de SGSI-REG-001, que cita estas diez interfaces por su forma corta y con vocabulario cerrado: Familia, Círculo histórico, Asesores Dublín, MSP, Banca privada, Físico↔Digital, Servicios contratados, Contratas y trabajos, Entorno social y Proveedores de viaje. La comprobación se hace en los dos sentidos —ningún escenario cita algo que no esté en esta lista, y ninguna interfaz de esta lista se queda sin escenario que la ponga a prueba— y es la que cierra materialmente HD-04.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El sistema de gestión (cláusula 4.4)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Atalaya establece, implementa, mantiene y mejora continuamente un SGSI conforme a ISO/IEC 27001:2022, incluidos los procesos necesarios y sus interacciones. La documentación del sistema se rige por el procedimiento de control documental (SGSI-DOC-002) y este documento se revisa, como mínimo, anualmente y ante cualquier cambio significativo del contexto: variación en la composición o exposición de la familia, cambio de proveedores críticos, incidentes relevantes o modificación de la estructura patrimonial.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Los cambios del SGSI se planifican (cláusula 6.3): toda modificación relevante del sistema —alcance, metodología, estructura de gobierno, alta de una nueva interfaz o de un proveedor crítico— se somete al Comité de Seguridad Convergente con evaluación previa de su efecto sobre los escenarios de riesgo (SGSI-DOC-004, sección 8) y sobre la documentación afectada (SGSI-DOC-002), antes de su entrada en operación.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Riesgos y oportunidades para el propio SGSI (cláusula 6.1.1)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Además de los riesgos de seguridad de la información (SGSI-DOC-004 y SGSI-REG-001), la organización identifica lo que puede impedir que el SGSI logre sus resultados previstos. Son riesgos del proyecto y del sistema, no de la información, y se tratan aquí porque su gestión condiciona todo lo demás: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Riesgo / oportunidad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Tratamiento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Rechazo del círculo histórico a la regularización (el riesgo de implantación más alto del proyecto)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principal antecede personalmente cada acuerdo (SGSI-DOC-006 §4); acuerdos en lenguaje llano y proporcionados; sin plazos agresivos: la relación vale más que el calendario del proyecto.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Incumplimiento ejemplar del propio principal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Tratado en la declaración de compromiso (regla segunda) y en el informe ejecutivo a la propiedad: el día que el principal se salte una regla, el sistema pierde autoridad. La representante de la propiedad tiene el mandato de señalarlo.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Dependencia del consultor externo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 de transferencia de conocimiento y cláusula de no dependencia (SGSI-DOC-003 §6.3): a partir del segundo ciclo el sistema debe operar sin consultor, salvo auditoría y revisión anual.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Fatiga normativa de la familia (las reglas se cumplen tres meses y se abandonan)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Diseño de mínima fricción como criterio de la política; las normas que afectan a la familia se acuerdan, no se imponen, vía representante de la propiedad; revisión trimestral de cumplimiento real, no declarado.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Oportunidad: madurez alta preexistente en seguridad física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aprovecha como palanca: el jefe de seguridad preside la convergencia y los controles físicos existentes se integran en el SGSI en lugar de duplicarse (SoA: los controles físicos preexistentes figuran como PARCIAL — el medio existe y opera, pero su ejecución no deja evidencia registrada y por tanto no alcanzan cobertura efectiva conforme a SGSI-DOC-004 §6; ver SGSI-REG-006, HD-03).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Patrocinio sostenido en el miedo y no en el criterio de riesgo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impulso de implantación procede de la reacción al cuasi-incidente, no de una valoración sostenida del riesgo. Un patrocinio de esa naturaleza decae a medida que el suceso se aleja, y con él la exigencia de cumplimiento. Tratamiento: la declaración de una página la firma el principal y no el cónyuge, de modo que el compromiso formal no dependa de quien lo impulsó por temor; los indicadores del ciclo (SGSI-DOC-005) miden ejecución sostenida y no implantación puntual; y la revisión por la dirección incorpora expresamente la evolución del cumplimiento en el tiempo como punto de orden.</w:t>
            </w:r>
          </w:p>
        </w:tc>
      </w:tr>
    </w:tbl>
    <w:p>
      <w:r>
        <w:t>Precisión de contexto (cláusulas 4.1 y 4.2, enmienda de 2024): el cambio climático es relevante para la continuidad de la residencia y de los servicios incluidos, por la posible intensificación de fenómenos ambientales y de interrupciones del suministro. Se evalúa dentro del alcance existente de A.7.5/A.7.11, sin añadir instalaciones, terceros ni controles ejecutados. Los requisitos de partes interesadas se revisan por el cauce de REG-005; no se atribuye un requisito climático específico no identificado.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Anexo A. Trazabilidad con ISO/IEC 27001:2022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Sección de este documento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Cláusula ISO/IEC 27001:2022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y 5 — Contexto externo e interno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4.1 Comprensión de la organización y su contexto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— Partes interesadas y requisitos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4.2 Comprensión de las necesidades y expectativas de las partes interesadas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 — Alcance, exclusiones e interfaces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4.3 Determinación del alcance del SGSI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— El sistema de gestión; planificación de cambios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4.4; 6.3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 — Riesgos y oportunidades del SGSI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6.1.1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center" w:pos="4819"/>
        <w:tab w:val="right" w:pos="9638"/>
      </w:tabs>
      <w:spacing w:before="60"/>
    </w:pPr>
    <w:r>
      <w:rPr>
        <w:rFonts w:ascii="Calibri" w:cs="Calibri" w:eastAsia="Calibri" w:hAnsi="Calibri"/>
        <w:color w:val="666666"/>
        <w:sz w:val="16"/>
        <w:szCs w:val="16"/>
      </w:rPr>
      <w:t xml:space="preserve">Clasificación: Interna</w:t>
    </w:r>
    <w:r>
      <w:rPr>
        <w:rFonts w:ascii="Calibri" w:cs="Calibri" w:eastAsia="Calibri" w:hAnsi="Calibri"/>
        <w:color w:val="666666"/>
        <w:sz w:val="16"/>
        <w:szCs w:val="16"/>
      </w:rPr>
      <w:tab/>
      <w:t>SGSI-DOC-001 v1.8</w:t>
    </w:r>
    <w:r>
      <w:rPr>
        <w:rFonts w:ascii="Calibri" w:cs="Calibri" w:eastAsia="Calibri" w:hAnsi="Calibri"/>
        <w:color w:val="666666"/>
        <w:sz w:val="16"/>
        <w:szCs w:val="16"/>
      </w:rPr>
      <w:t xml:space="preserve">	Página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de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/>
      </w:pBdr>
      <w:tabs>
        <w:tab w:val="right" w:pos="9638"/>
      </w:tabs>
      <w:spacing w:after="60"/>
    </w:pPr>
    <w:r>
      <w:rPr>
        <w:rFonts w:ascii="Calibri" w:cs="Calibri" w:eastAsia="Calibri" w:hAnsi="Calibri"/>
        <w:color w:val="666666"/>
        <w:sz w:val="16"/>
        <w:szCs w:val="16"/>
      </w:rPr>
      <w:t xml:space="preserve">Atalaya Gestión Patrimonial SL — Sistema de Gestión de Seguridad de la Información</w:t>
    </w:r>
    <w:r>
      <w:rPr>
        <w:rFonts w:ascii="Calibri" w:cs="Calibri" w:eastAsia="Calibri" w:hAnsi="Calibri"/>
        <w:color w:val="666666"/>
        <w:sz w:val="16"/>
        <w:szCs w:val="16"/>
      </w:rPr>
      <w:t xml:space="preserve">	SGSI-DOC-001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_DOC00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2026-07-07T20:26:27.457Z</dcterms:created>
  <dcterms:modified xsi:type="dcterms:W3CDTF">2026-07-07T20:26:27.469Z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