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34"/>
          <w:szCs w:val="34"/>
        </w:rPr>
        <w:t xml:space="preserve">Procedimiento de Control de la Información Documentada</w:t>
      </w:r>
    </w:p>
    <w:p>
      <w:pPr>
        <w:spacing w:after="240"/>
      </w:pPr>
      <w:r>
        <w:rPr>
          <w:rFonts w:ascii="Calibri" w:cs="Calibri" w:eastAsia="Calibri" w:hAnsi="Calibri"/>
          <w:color w:val="666666"/>
          <w:sz w:val="23"/>
          <w:szCs w:val="23"/>
        </w:rPr>
        <w:t xml:space="preserve">ISO/IEC 27001:2022 — Cláusula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Código de documento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SGSI-DOC-002</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1.5</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Estado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Revisión documental — pendiente de aprobación</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Clasificación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Interna</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Propietario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 — Atalaya GP SL</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 (externo)</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emisión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22/05/2026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Aprobado por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 conforme a DOC-002 §4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Registro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Sin acta de aprobación de esta revisión. No acredita implantación ni firma contractual.</w:t>
            </w:r>
          </w:p>
        </w:tc>
      </w:tr>
    </w:tbl>
    <w:p>
      <w:pPr>
        <w:spacing w:after="80" w:before="160"/>
      </w:pPr>
      <w:r>
        <w:rPr>
          <w:rFonts w:ascii="Calibri" w:cs="Calibri" w:eastAsia="Calibri" w:hAnsi="Calibri"/>
          <w:b/>
          <w:bCs/>
          <w:sz w:val="21"/>
          <w:szCs w:val="21"/>
        </w:rPr>
        <w:t xml:space="preserve">Historial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638"/>
      </w:tblGrid>
      <w:tr>
        <w:trPr>
          <w:tblHeader/>
        </w:trPr>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46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Descripción del cambio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22/05/2026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Emisión inicial</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05/06/2026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del documento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Ampliación de ejemplos de clasificación (§5) y alta de §5.1 (retención de datos personales).</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Precisión de §3 (regla de versionado) y §4 (tabla de tipos documentales y aprobaciones). Ver decisiones.md §16.</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Recorte del historial de versiones a una línea por entrada, con referencia a decisiones.md donde procede. Sin cambios de fondo.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 SGSI-REG-008 en el inventario de registros (§2, §4: seis registros, no cinco); alta en §5.1 de la retención de los expedientes de personal (T-05) y de los itinerarios de viaje (T-07), tratamientos identificados en SGSI-REG-008.</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1.4.</w:t>
            </w:r>
          </w:p>
        </w:tc>
      </w:tr>
      <w:tr>
        <w:trPr/>
        <w:tc>
          <w:tcPr>
            <w:tcW w:type="dxa" w:w="1100"/>
          </w:tcPr>
          <w:p>
            <w:r>
              <w:t>1.5</w:t>
            </w:r>
          </w:p>
        </w:tc>
        <w:tc>
          <w:tcPr>
            <w:tcW w:type="dxa" w:w="1500"/>
          </w:tcPr>
          <w:p>
            <w:r>
              <w:t>20/09/2026</w:t>
            </w:r>
          </w:p>
        </w:tc>
        <w:tc>
          <w:tcPr>
            <w:tcW w:type="dxa" w:w="2400"/>
          </w:tcPr>
          <w:p>
            <w:r>
              <w:t>Autor del caso</w:t>
            </w:r>
          </w:p>
        </w:tc>
        <w:tc>
          <w:tcPr>
            <w:tcW w:type="dxa" w:w="4638"/>
          </w:tcPr>
          <w:p>
            <w:r>
              <w:t>Revisión de coherencia de septiembre. Deltas y verificación en docs/fase1-iso27001/correcciones_2026-09.md. Sin cambios en la fecha de corte.</w:t>
            </w:r>
          </w:p>
        </w:tc>
      </w:tr>
    </w:tbl>
    <w:p>
      <w:pPr>
        <w:pStyle w:val="Heading1"/>
        <w:spacing w:after="160" w:before="320"/>
      </w:pPr>
      <w:r>
        <w:rPr>
          <w:rFonts w:ascii="Calibri" w:cs="Calibri" w:eastAsia="Calibri" w:hAnsi="Calibri"/>
          <w:b/>
          <w:bCs/>
          <w:color w:val="1F3864"/>
          <w:sz w:val="26"/>
          <w:szCs w:val="26"/>
        </w:rPr>
        <w:t xml:space="preserve">1. Objeto</w:t>
      </w:r>
    </w:p>
    <w:p>
      <w:pPr>
        <w:spacing w:after="120" w:line="276"/>
        <w:jc w:val="both"/>
      </w:pPr>
      <w:r>
        <w:rPr>
          <w:rFonts w:ascii="Calibri" w:cs="Calibri" w:eastAsia="Calibri" w:hAnsi="Calibri"/>
          <w:sz w:val="21"/>
          <w:szCs w:val="21"/>
        </w:rPr>
        <w:t xml:space="preserve">Establece cómo se crea, identifica, revisa, aprueba, distribuye, protege y retira la información documentada del SGSI de Atalaya Gestión Patrimonial SL (cláusula 7.5 de ISO/IEC 27001:2022). El criterio rector es la proporcionalidad: en una organización de nueve personas, un sistema documental pesado muere en tres meses; este procedimiento define el mínimo que garantiza control real.</w:t>
      </w:r>
    </w:p>
    <w:p>
      <w:pPr>
        <w:pStyle w:val="Heading1"/>
        <w:spacing w:after="160" w:before="320"/>
      </w:pPr>
      <w:r>
        <w:rPr>
          <w:rFonts w:ascii="Calibri" w:cs="Calibri" w:eastAsia="Calibri" w:hAnsi="Calibri"/>
          <w:b/>
          <w:bCs/>
          <w:color w:val="1F3864"/>
          <w:sz w:val="26"/>
          <w:szCs w:val="26"/>
        </w:rPr>
        <w:t xml:space="preserve">2. Identificación y codificación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Tipo</w:t>
            </w:r>
          </w:p>
        </w:tc>
        <w:tc>
          <w:tcPr>
            <w:tcW w:type="dxa" w:w="72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Codificación y ejemplos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Documentos del SGSI</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SGSI-DOC-NNN: políticas, procedimientos, normas y metodologías (p. ej., SGSI-DOC-003 Política de Seguridad de la Información).</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Registros</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SGSI-REG-NNN: evidencias y registros vivos (p. ej., SGSI-REG-001 Registro de riesgos, SGSI-REG-003 Declaración de Aplicabilidad, SGSI-REG-008 Registro de Actividades de Tratamiento).</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Acuerdos</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SGSI-ACU-NNN: acuerdos específicos con el círculo de confianza y anexos de seguridad a contratos de terceros.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Informes</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SGSI-INF-NNN: informes puntuales a la propiedad o al Comité (p. ej., SGSI-INF-001 Informe ejecutivo para la propiedad).</w:t>
            </w:r>
          </w:p>
        </w:tc>
      </w:tr>
    </w:tbl>
    <w:p>
      <w:pPr>
        <w:spacing w:after="120" w:line="276"/>
        <w:jc w:val="both"/>
      </w:pPr>
      <w:r>
        <w:rPr>
          <w:rFonts w:ascii="Calibri" w:cs="Calibri" w:eastAsia="Calibri" w:hAnsi="Calibri"/>
          <w:sz w:val="21"/>
          <w:szCs w:val="21"/>
        </w:rPr>
        <w:t xml:space="preserve">Todo documento lleva cabecera de control (código, versión, estado, clasificación, propietario, autor, fechas), historial de versiones y pie con clasificación, código y paginación. En los registros mantenidos en libro de cálculo, la cabecera de control y el historial ocupan la hoja «Portada» del libro y el pie se configura en todas sus hojas: el soporte cambia, el requisito no.</w:t>
      </w:r>
    </w:p>
    <w:p>
      <w:pPr>
        <w:pStyle w:val="Heading1"/>
        <w:spacing w:after="160" w:before="320"/>
      </w:pPr>
      <w:r>
        <w:rPr>
          <w:rFonts w:ascii="Calibri" w:cs="Calibri" w:eastAsia="Calibri" w:hAnsi="Calibri"/>
          <w:b/>
          <w:bCs/>
          <w:color w:val="1F3864"/>
          <w:sz w:val="26"/>
          <w:szCs w:val="26"/>
        </w:rPr>
        <w:t xml:space="preserve">3. Estados y versionado</w:t>
      </w:r>
    </w:p>
    <w:p>
      <w:pPr>
        <w:spacing w:after="120" w:line="276"/>
        <w:jc w:val="both"/>
      </w:pPr>
      <w:r>
        <w:rPr>
          <w:rFonts w:ascii="Calibri" w:cs="Calibri" w:eastAsia="Calibri" w:hAnsi="Calibri"/>
          <w:sz w:val="21"/>
          <w:szCs w:val="21"/>
        </w:rPr>
        <w:t xml:space="preserve">Estados: Borrador (en elaboración o revisión), Vigente (aprobado y en vigor) y Obsoleto (retirado, conservado como histórico). El estado se consigna con el valor exacto del vocabulario y sin sufijos: «Vigente» ya significa aprobado y en vigor, de modo que «Vigente — aprobado» es a la vez redundante y ajeno al vocabulario. Versionado: 0.x para borradores; 1.0 en la primera aprobación; incrementos de decimal para cambios menores y de entero para cambios de fondo. Se entiende por cambio de fondo el que altera el alcance del SGSI, los criterios de riesgo, la estructura de gobierno o la estructura de un registro; todo lo demás es cambio menor. El ciclo de revisión de julio de 2026 se documenta íntegramente como sucesión de decimales por decisión expresa del Comité: aunque tocó los cuatro supuestos —alcance en las interfaces de DOC-001, criterios de riesgo en DOC-004, gobierno en las secciones nuevas de DOC-003 y estructura en las columnas añadidas a REG-001 y REG-003—, se adoptó como un único acto de revisión en una sola sesión, y fragmentarlo en enteros habría sugerido varios ciclos donde hubo uno. El criterio queda escrito para que la próxima vez la decisión no dependa de quien redacte. Los registros que nacen aprobados en sesión del Comité se emiten directamente en 1.0; los que circulan para revisión previa usan 0.x como los documentos.</w:t>
      </w:r>
    </w:p>
    <w:p>
      <w:pPr>
        <w:pStyle w:val="Heading1"/>
        <w:spacing w:after="160" w:before="320"/>
      </w:pPr>
      <w:r>
        <w:rPr>
          <w:rFonts w:ascii="Calibri" w:cs="Calibri" w:eastAsia="Calibri" w:hAnsi="Calibri"/>
          <w:b/>
          <w:bCs/>
          <w:color w:val="1F3864"/>
          <w:sz w:val="26"/>
          <w:szCs w:val="26"/>
        </w:rPr>
        <w:t xml:space="preserve">4. Elaboración, revisión y aprobación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38"/>
      </w:tblGrid>
      <w:tr>
        <w:trPr>
          <w:tblHeader/>
        </w:trPr>
        <w:tc>
          <w:tcPr>
            <w:tcW w:type="dxa" w:w="28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Documento</w:t>
            </w:r>
          </w:p>
        </w:tc>
        <w:tc>
          <w:tcPr>
            <w:tcW w:type="dxa" w:w="3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Revisa</w:t>
            </w:r>
          </w:p>
        </w:tc>
        <w:tc>
          <w:tcPr>
            <w:tcW w:type="dxa" w:w="3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Aprueba</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Política de seguridad (DOC-003)</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Administrador único (la declaración de compromiso, §3) / Comité de Seguridad Convergente (el desarrollo, §§4-9, por delegación expresa)</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Metodologías, normas, políticas de desarrollo y procedimientos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Propietario del documento</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Registros del SGSI</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Propietario del registro</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Los seis registros vigentes del sistema —SGSI-REG-001/002, REG-003, REG-004, REG-005, REG-006 y REG-008— se aprueban en sesión del Comité, por acuerdo expreso adoptado al cierre del diseño: todos contienen decisiones que la dirección debe hacer suyas, no solo datos. Un registro futuro que se limite a acumular evidencia operativa no requerirá aprobación formal, y el Comité lo hará constar al darlo de alta.</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Acuerdos con terceros y círculo de confianza</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 + asesoría legal</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Contexto, alcance y objetivos (DOC-001, DOC-005)</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Propietario del documento</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Informes a la propiedad y al Comité (SGSI-INF-NNN)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 los emite la Dirección General</w:t>
            </w:r>
          </w:p>
        </w:tc>
      </w:tr>
    </w:tbl>
    <w:p>
      <w:pPr>
        <w:spacing w:after="120" w:line="276"/>
        <w:jc w:val="both"/>
      </w:pPr>
      <w:r>
        <w:rPr>
          <w:rFonts w:ascii="Calibri" w:cs="Calibri" w:eastAsia="Calibri" w:hAnsi="Calibri"/>
          <w:sz w:val="21"/>
          <w:szCs w:val="21"/>
        </w:rPr>
        <w:t xml:space="preserve">Revisión programada: anual como mínimo para todos los documentos vigentes, y siempre tras un incidente relevante o un cambio del contexto (SGSI-DOC-001, sección 8).</w:t>
      </w:r>
    </w:p>
    <w:p>
      <w:pPr>
        <w:pStyle w:val="Heading1"/>
        <w:spacing w:after="160" w:before="320"/>
      </w:pPr>
      <w:r>
        <w:rPr>
          <w:rFonts w:ascii="Calibri" w:cs="Calibri" w:eastAsia="Calibri" w:hAnsi="Calibri"/>
          <w:b/>
          <w:bCs/>
          <w:color w:val="1F3864"/>
          <w:sz w:val="26"/>
          <w:szCs w:val="26"/>
        </w:rPr>
        <w:t xml:space="preserve">5. Clasificación de la información</w:t>
      </w:r>
    </w:p>
    <w:p>
      <w:pPr>
        <w:spacing w:after="120" w:line="276"/>
        <w:jc w:val="both"/>
      </w:pPr>
      <w:r>
        <w:rPr>
          <w:rFonts w:ascii="Calibri" w:cs="Calibri" w:eastAsia="Calibri" w:hAnsi="Calibri"/>
          <w:sz w:val="21"/>
          <w:szCs w:val="21"/>
        </w:rPr>
        <w:t xml:space="preserve">Cuatro niveles, aplicables a toda la información en alcance, no solo a los documentos del SGSI: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tblHeader/>
        </w:trPr>
        <w:tc>
          <w:tcPr>
            <w:tcW w:type="dxa" w:w="1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Nivel</w:t>
            </w:r>
          </w:p>
        </w:tc>
        <w:tc>
          <w:tcPr>
            <w:tcW w:type="dxa" w:w="43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Definición</w:t>
            </w:r>
          </w:p>
        </w:tc>
        <w:tc>
          <w:tcPr>
            <w:tcW w:type="dxa" w:w="3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Ejemplos</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Restringida</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Su exposición habilita daño directo a personas o disposición patrimonial. Acceso nominal, cifrado obligatorio en tránsito y reposo, prohibida en mensajería personal.</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b w:val="0"/>
                <w:sz w:val="19"/>
                <w:szCs w:val="19"/>
              </w:rPr>
              <w:t>Rutinas, itinerarios de viaje, dispositivos de protección, pólizas personales, poderes, posiciones bancarias; existencia, fecha e importe de movimientos de efectivo o valores (SGSI-DOC-007 §6, regla E2); fichas de evaluación de destino y listas de destinatarios de itinerario (SGSI-DOC-008 §6)</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Confidencial</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Información patrimonial, contractual o personal cuya exposición causa daño significativo.</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b w:val="0"/>
                <w:sz w:val="19"/>
                <w:szCs w:val="19"/>
              </w:rPr>
              <w:t>Contratos, información fiscal, escrituras, datos del personal; registros nominales de acceso de contratas y de visitas (SGSI-DOC-006 §7 y §8); registro de indicios (SGSI-REG-004)</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Interna</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Operativa de la organización sin daño grave si se expone, pero no pública.</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Documentos del SGSI, procedimientos, comunicaciones internas</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Pública</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Aprobada expresamente para difusión exterior.</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Versión pública de la política, información de la agencia de comunicación</w:t>
            </w:r>
          </w:p>
        </w:tc>
      </w:tr>
    </w:tbl>
    <w:p>
      <w:pPr>
        <w:spacing w:after="120" w:line="276"/>
        <w:jc w:val="both"/>
      </w:pPr>
      <w:r>
        <w:rPr>
          <w:rFonts w:ascii="Calibri" w:cs="Calibri" w:eastAsia="Calibri" w:hAnsi="Calibri"/>
          <w:sz w:val="21"/>
          <w:szCs w:val="21"/>
        </w:rPr>
        <w:t xml:space="preserve">Regla práctica: en caso de duda entre dos niveles se aplica el superior. La información de rutinas y ubicaciones de la familia es siempre Restringida, con independencia de su soporte o de quién la genere.</w:t>
      </w:r>
    </w:p>
    <w:p>
      <w:pPr>
        <w:pStyle w:val="Heading1"/>
        <w:spacing w:after="160" w:before="320"/>
      </w:pPr>
      <w:r>
        <w:rPr>
          <w:rFonts w:ascii="Calibri" w:hAnsi="Calibri"/>
          <w:b/>
          <w:sz w:val="24"/>
        </w:rPr>
        <w:t>5.1 Retención de los registros con datos personales</w:t>
      </w:r>
    </w:p>
    <w:p>
      <w:pPr>
        <w:spacing w:after="120" w:line="276"/>
        <w:jc w:val="both"/>
      </w:pPr>
      <w:r>
        <w:rPr>
          <w:rFonts w:ascii="Calibri" w:hAnsi="Calibri"/>
          <w:b w:val="0"/>
          <w:sz w:val="20"/>
        </w:rPr>
        <w:t>Los registros de acceso y de visitas introducidos por SGSI-DOC-006 constituyen tratamiento de datos personales (SGSI-REG-005, L-11) y no pueden conservarse indefinidamente por comodidad operativa. Se fijan aquí sus plazos, porque un registro sin plazo de borrado deja de ser un control y pasa a ser un riesgo por sí mismo.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3"/>
      </w:tblGrid>
      <w:tr>
        <w:trPr>
          <w:tblHeader/>
        </w:trPr>
        <w:tc>
          <w:tcPr>
            <w:tcW w:type="dxa" w:w="3213"/>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Registro</w:t>
            </w:r>
          </w:p>
        </w:tc>
        <w:tc>
          <w:tcPr>
            <w:tcW w:type="dxa" w:w="3213"/>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Plazo de conservación</w:t>
            </w:r>
          </w:p>
        </w:tc>
        <w:tc>
          <w:tcPr>
            <w:tcW w:type="dxa" w:w="3213"/>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Criterio</w:t>
            </w:r>
          </w:p>
        </w:tc>
      </w:tr>
      <w:tr>
        <w:trPr>
          <w:tblHeader w:val="false"/>
        </w:trPr>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Registro de acceso de contratas y trabajos (DOC-006 §7)</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 meses</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b w:val="0"/>
                <w:sz w:val="19"/>
                <w:szCs w:val="19"/>
              </w:rPr>
              <w:t>Cubre un ciclo anual completo de auditoría y permite reconstruir intervenciones sobre sistemas y zonas.</w:t>
            </w:r>
          </w:p>
        </w:tc>
      </w:tr>
      <w:tr>
        <w:trPr>
          <w:tblHeader w:val="false"/>
        </w:trPr>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Registro de visitas no contractuales (DOC-006 §8)</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 meses</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b w:val="0"/>
                <w:sz w:val="19"/>
                <w:szCs w:val="19"/>
              </w:rPr>
              <w:t>Plazo mínimo para sostener la revisión semanal de correlación sin acumular información sobre relaciones personales de la familia más allá de su utilidad.</w:t>
            </w:r>
          </w:p>
        </w:tc>
      </w:tr>
      <w:tr>
        <w:trPr>
          <w:tblHeader w:val="false"/>
        </w:trPr>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Registro de indicios (SGSI-REG-004)</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 meses</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b w:val="0"/>
                <w:sz w:val="19"/>
                <w:szCs w:val="19"/>
              </w:rPr>
              <w:t>Los patrones de vigilancia hostil se despliegan en plazos largos; un plazo corto anula el valor de la correlación.</w:t>
            </w:r>
          </w:p>
        </w:tc>
      </w:tr>
      <w:tr>
        <w:trPr>
          <w:tblHeader w:val="false"/>
        </w:trPr>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Grabaciones de videovigilancia</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Un mes como máximo</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Un mes como máximo desde la captación. La conservación excepcional se limita a las imágenes necesarias para acreditar actos contra personas, bienes o instalaciones, que se pondrán a disposición de la autoridad competente en las 72 horas desde que se conozca la existencia de la grabación pertinente (art. 22.3 LOPDGDD).</w:t>
            </w:r>
          </w:p>
        </w:tc>
      </w:tr>
      <w:tr>
        <w:trPr>
          <w:tblHeader w:val="false"/>
        </w:trPr>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Registros de verificación de órdenes y movimientos (DOC-007)</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 años</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b w:val="0"/>
                <w:sz w:val="19"/>
                <w:szCs w:val="19"/>
              </w:rPr>
              <w:t>Alineado con los plazos de conservación mercantil y con el valor probatorio del registro.</w:t>
            </w:r>
          </w:p>
        </w:tc>
      </w:tr>
      <w:tr>
        <w:trPr>
          <w:tblHeader w:val="false"/>
        </w:trPr>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Expedientes de personal: nómina, Seguridad Social y control horario (SGSI-REG-008, T-05)</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Por categoría documental; no se aplica un plazo único al expediente completo</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El responsable financiero separa control horario, justificantes de Seguridad Social y documentación contable/fiscal y documenta la obligación y el cómputo aplicables en REG-005/T-05. Se retira la cita al art. 21 del Estatuto de los Trabajadores, que no regula conservación. La revisión jurídica de los plazos y el borrado correspondiente permanece abierta; no se declara cerrado el requisito por conservar todo indiscriminadamente.</w:t>
            </w:r>
          </w:p>
        </w:tc>
      </w:tr>
      <w:tr>
        <w:trPr>
          <w:tblHeader w:val="false"/>
        </w:trPr>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Itinerarios y fichas de seguridad de destino (SGSI-DOC-008; SGSI-REG-008, T-07)</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 meses tras la finalización del viaje</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b w:val="0"/>
                <w:sz w:val="19"/>
                <w:szCs w:val="19"/>
              </w:rPr>
              <w:t>Permite revisar patrones de exposición geográfica acumulada sin retener indefinidamente los desplazamientos de la familia.</w:t>
            </w:r>
          </w:p>
        </w:tc>
      </w:tr>
    </w:tbl>
    <w:p>
      <w:pPr>
        <w:spacing w:after="120" w:line="276"/>
        <w:jc w:val="both"/>
      </w:pPr>
      <w:r>
        <w:rPr>
          <w:rFonts w:ascii="Calibri" w:hAnsi="Calibri"/>
          <w:b w:val="0"/>
          <w:sz w:val="20"/>
        </w:rPr>
        <w:t>Vencido el plazo, el borrado es efectivo y se documenta. La conservación más allá del plazo requiere motivo escrito vinculado a un incidente o a un procedimiento en curso.</w:t>
      </w:r>
    </w:p>
    <w:p>
      <w:pPr>
        <w:pStyle w:val="Heading1"/>
        <w:spacing w:after="160" w:before="320"/>
      </w:pPr>
      <w:r>
        <w:rPr>
          <w:rFonts w:ascii="Calibri" w:cs="Calibri" w:eastAsia="Calibri" w:hAnsi="Calibri"/>
          <w:b/>
          <w:bCs/>
          <w:color w:val="1F3864"/>
          <w:sz w:val="26"/>
          <w:szCs w:val="26"/>
        </w:rPr>
        <w:t xml:space="preserve">6. Distribución, protección y documentos externos</w:t>
      </w:r>
    </w:p>
    <w:p>
      <w:pPr>
        <w:pStyle w:val="ListParagraph"/>
        <w:numPr>
          <w:ilvl w:val="0"/>
          <w:numId w:val="2"/>
        </w:numPr>
        <w:spacing w:after="80" w:line="276"/>
        <w:jc w:val="both"/>
      </w:pPr>
      <w:r>
        <w:rPr>
          <w:rFonts w:ascii="Calibri" w:cs="Calibri" w:eastAsia="Calibri" w:hAnsi="Calibri"/>
          <w:sz w:val="21"/>
          <w:szCs w:val="21"/>
        </w:rPr>
        <w:t xml:space="preserve">Repositorio único de documentos vigentes en el servidor del family office, con acceso por rol; se prohíbe la circulación de copias locales de documentos Restringidos y Confidenciales.</w:t>
      </w:r>
    </w:p>
    <w:p>
      <w:pPr>
        <w:pStyle w:val="ListParagraph"/>
        <w:numPr>
          <w:ilvl w:val="0"/>
          <w:numId w:val="2"/>
        </w:numPr>
        <w:spacing w:after="80" w:line="276"/>
        <w:jc w:val="both"/>
      </w:pPr>
      <w:r>
        <w:rPr>
          <w:rFonts w:ascii="Calibri" w:cs="Calibri" w:eastAsia="Calibri" w:hAnsi="Calibri"/>
          <w:sz w:val="21"/>
          <w:szCs w:val="21"/>
        </w:rPr>
        <w:t xml:space="preserve">La información documentada de origen externo necesaria para el SGSI (contratos con terceros, pólizas, requisitos legales) se identifica y controla en el mismo repositorio, con propietario asignado.</w:t>
      </w:r>
    </w:p>
    <w:p>
      <w:pPr>
        <w:pStyle w:val="ListParagraph"/>
        <w:numPr>
          <w:ilvl w:val="0"/>
          <w:numId w:val="2"/>
        </w:numPr>
        <w:spacing w:after="80" w:line="276"/>
        <w:jc w:val="both"/>
      </w:pPr>
      <w:r>
        <w:rPr>
          <w:rFonts w:ascii="Calibri" w:cs="Calibri" w:eastAsia="Calibri" w:hAnsi="Calibri"/>
          <w:sz w:val="21"/>
          <w:szCs w:val="21"/>
        </w:rPr>
        <w:t xml:space="preserve">La distribución a terceros exige versión y registro de entrega; a los miembros del círculo de confianza se les entrega únicamente lo que su acuerdo específico requiere.</w:t>
      </w:r>
    </w:p>
    <w:p>
      <w:pPr>
        <w:pStyle w:val="Heading1"/>
        <w:spacing w:after="160" w:before="320"/>
      </w:pPr>
      <w:r>
        <w:rPr>
          <w:rFonts w:ascii="Calibri" w:cs="Calibri" w:eastAsia="Calibri" w:hAnsi="Calibri"/>
          <w:b/>
          <w:bCs/>
          <w:color w:val="1F3864"/>
          <w:sz w:val="26"/>
          <w:szCs w:val="26"/>
        </w:rPr>
        <w:t xml:space="preserve">Anexo A. Trazabilidad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Sección</w:t>
            </w:r>
          </w:p>
        </w:tc>
        <w:tc>
          <w:tcPr>
            <w:tcW w:type="dxa" w:w="6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Cláusula ISO/IEC 27001:2022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 3, 4 — Identificación, estados, aprobación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7.5.1, 7.5.2, 7.5.3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 — Clasificación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Anexo A 5.12, A 5.13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 — Distribución y externos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7.5.3; Anexo A 5.14</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center" w:pos="4819"/>
        <w:tab w:val="right" w:pos="9638"/>
      </w:tabs>
      <w:spacing w:before="60"/>
    </w:pPr>
    <w:r>
      <w:rPr>
        <w:rFonts w:ascii="Calibri" w:cs="Calibri" w:eastAsia="Calibri" w:hAnsi="Calibri"/>
        <w:color w:val="666666"/>
        <w:sz w:val="16"/>
        <w:szCs w:val="16"/>
      </w:rPr>
      <w:t xml:space="preserve">Clasificación: Interna</w:t>
    </w:r>
    <w:r>
      <w:rPr>
        <w:rFonts w:ascii="Calibri" w:cs="Calibri" w:eastAsia="Calibri" w:hAnsi="Calibri"/>
        <w:color w:val="666666"/>
        <w:sz w:val="16"/>
        <w:szCs w:val="16"/>
      </w:rPr>
      <w:tab/>
      <w:t>SGSI-DOC-002 v1.5</w:t>
    </w:r>
    <w:r>
      <w:rPr>
        <w:rFonts w:ascii="Calibri" w:cs="Calibri" w:eastAsia="Calibri" w:hAnsi="Calibri"/>
        <w:color w:val="666666"/>
        <w:sz w:val="16"/>
        <w:szCs w:val="16"/>
      </w:rPr>
      <w:t xml:space="preserve">	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right" w:pos="9638"/>
      </w:tabs>
      <w:spacing w:after="60"/>
    </w:pPr>
    <w:r>
      <w:rPr>
        <w:rFonts w:ascii="Calibri" w:cs="Calibri" w:eastAsia="Calibri" w:hAnsi="Calibri"/>
        <w:color w:val="666666"/>
        <w:sz w:val="16"/>
        <w:szCs w:val="16"/>
      </w:rPr>
      <w:t xml:space="preserve">Atalaya Gestión Patrimonial SL — Sistema de Gestión de Seguridad de la Información</w:t>
    </w:r>
    <w:r>
      <w:rPr>
        <w:rFonts w:ascii="Calibri" w:cs="Calibri" w:eastAsia="Calibri" w:hAnsi="Calibri"/>
        <w:color w:val="666666"/>
        <w:sz w:val="16"/>
        <w:szCs w:val="16"/>
      </w:rPr>
      <w:t xml:space="preserve">	SGSI-DOC-002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2026-07-07T20:26:28.409Z</dcterms:created>
  <dcterms:modified xsi:type="dcterms:W3CDTF">2026-07-07T20:26:28.410Z</dcterms:modified>
</cp:coreProperties>
</file>

<file path=docProps/custom.xml><?xml version="1.0" encoding="utf-8"?>
<Properties xmlns="http://schemas.openxmlformats.org/officeDocument/2006/custom-properties" xmlns:vt="http://schemas.openxmlformats.org/officeDocument/2006/docPropsVTypes"/>
</file>