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Metodología de Gestión de Riesgos de Seguridad de la Información</w:t>
      </w:r>
    </w:p>
    <w:p>
      <w:pPr>
        <w:spacing w:after="240"/>
      </w:pPr>
      <w:r>
        <w:rPr>
          <w:rFonts w:ascii="Calibri" w:cs="Calibri" w:eastAsia="Calibri" w:hAnsi="Calibri"/>
          <w:color w:val="666666"/>
          <w:sz w:val="23"/>
          <w:szCs w:val="23"/>
        </w:rPr>
        <w:t xml:space="preserve">ISO/IEC 27001:2022 — Cláusulas 6.1.2, 6.1.3, 8.1, 8.2 y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SGSI-DOC-004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1.8</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26/05/2026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26/05/2026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Emisión inicial para aprobación del Comité de Seguridad Convergente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05/06/2026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del documento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Revisión de criterios de probabilidad (§4.2) y de la regla de convergencia; alta de RSC-018 a RSC-025. Ver decisiones.md §2, §10 y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Incorporación de la verificación periódica de controles a la regla de convergencia (§6). Ver decisiones.md §11.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Alta del validador automático como mecanismo de verificación de la regla (§6). Ver decisiones.md §17.</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1.3.</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Corrección del significado de la columna «Dominios» (§6) y de las interfaces del Anexo B. Ver decisiones.md §19.</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Corrección de la numeración de eslabones del Anexo B y alta de §9 (control operacional, 8.1). Ver decisiones.md §20 y §21.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1.5.</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1.6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Alta del diagrama de la regla de convergencia (Figura 1, §6).</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Aprobación de la revisión 1.7.</w:t>
            </w:r>
          </w:p>
        </w:tc>
      </w:tr>
      <w:tr>
        <w:trPr/>
        <w:tc>
          <w:tcPr>
            <w:tcW w:type="dxa" w:w="1100"/>
          </w:tcPr>
          <w:p>
            <w:r>
              <w:t>1.8</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bl>
    <w:p>
      <w:pPr>
        <w:pStyle w:val="Heading1"/>
        <w:spacing w:after="160" w:before="320"/>
      </w:pPr>
      <w:r>
        <w:rPr>
          <w:rFonts w:ascii="Calibri" w:cs="Calibri" w:eastAsia="Calibri" w:hAnsi="Calibri"/>
          <w:b/>
          <w:bCs/>
          <w:color w:val="1F3864"/>
          <w:sz w:val="26"/>
          <w:szCs w:val="26"/>
        </w:rPr>
        <w:t xml:space="preserve">1. Objeto</w:t>
      </w:r>
    </w:p>
    <w:p>
      <w:pPr>
        <w:spacing w:after="120" w:line="276"/>
        <w:jc w:val="both"/>
      </w:pPr>
      <w:r>
        <w:rPr>
          <w:rFonts w:ascii="Calibri" w:cs="Calibri" w:eastAsia="Calibri" w:hAnsi="Calibri"/>
          <w:sz w:val="21"/>
          <w:szCs w:val="21"/>
        </w:rPr>
        <w:t xml:space="preserve">Este documento define el proceso, los criterios y las escalas con los que Atalaya Gestión Patrimonial SL identifica, analiza, evalúa y trata los riesgos de seguridad de la información dentro del alcance definido en SGSI-DOC-001. La metodología cumple los requisitos mínimos de ISO/IEC 27001:2022 (resultados comparables, reproducibles y válidos) y se apoya en el enfoque basado en eventos de ISO/IEC 27005:2022.</w:t>
      </w:r>
    </w:p>
    <w:p>
      <w:pPr>
        <w:pStyle w:val="Heading1"/>
        <w:spacing w:after="160" w:before="320"/>
      </w:pPr>
      <w:r>
        <w:rPr>
          <w:rFonts w:ascii="Calibri" w:cs="Calibri" w:eastAsia="Calibri" w:hAnsi="Calibri"/>
          <w:b/>
          <w:bCs/>
          <w:color w:val="1F3864"/>
          <w:sz w:val="26"/>
          <w:szCs w:val="26"/>
        </w:rPr>
        <w:t xml:space="preserve">2. Referencias</w:t>
      </w:r>
    </w:p>
    <w:p>
      <w:pPr>
        <w:pStyle w:val="ListParagraph"/>
        <w:numPr>
          <w:ilvl w:val="0"/>
          <w:numId w:val="2"/>
        </w:numPr>
        <w:spacing w:after="80" w:line="276"/>
        <w:jc w:val="both"/>
      </w:pPr>
      <w:r>
        <w:rPr>
          <w:rFonts w:ascii="Calibri" w:cs="Calibri" w:eastAsia="Calibri" w:hAnsi="Calibri"/>
          <w:sz w:val="21"/>
          <w:szCs w:val="21"/>
        </w:rPr>
        <w:t xml:space="preserve">ISO/IEC 27001:2022, cláusulas 6.1.2 (evaluación), 6.1.3 (tratamiento), 8.1, 8.2 y 8.3 (operación).</w:t>
      </w:r>
    </w:p>
    <w:p>
      <w:pPr>
        <w:pStyle w:val="ListParagraph"/>
        <w:numPr>
          <w:ilvl w:val="0"/>
          <w:numId w:val="2"/>
        </w:numPr>
        <w:spacing w:after="80" w:line="276"/>
        <w:jc w:val="both"/>
      </w:pPr>
      <w:r>
        <w:rPr>
          <w:rFonts w:ascii="Calibri" w:cs="Calibri" w:eastAsia="Calibri" w:hAnsi="Calibri"/>
          <w:sz w:val="21"/>
          <w:szCs w:val="21"/>
        </w:rPr>
        <w:t xml:space="preserve">ISO/IEC 27005:2022, orientación sobre gestión de riesgos; enfoque basado en eventos.</w:t>
      </w:r>
    </w:p>
    <w:p>
      <w:pPr>
        <w:pStyle w:val="ListParagraph"/>
        <w:numPr>
          <w:ilvl w:val="0"/>
          <w:numId w:val="2"/>
        </w:numPr>
        <w:spacing w:after="80" w:line="276"/>
        <w:jc w:val="both"/>
      </w:pPr>
      <w:r>
        <w:rPr>
          <w:rFonts w:ascii="Calibri" w:cs="Calibri" w:eastAsia="Calibri" w:hAnsi="Calibri"/>
          <w:sz w:val="21"/>
          <w:szCs w:val="21"/>
        </w:rPr>
        <w:t xml:space="preserve">SGSI-DOC-001 Contexto y Alcance; SGSI-DOC-003 Política de Seguridad de la Información.</w:t>
      </w:r>
    </w:p>
    <w:p>
      <w:pPr>
        <w:pStyle w:val="Heading1"/>
        <w:spacing w:after="160" w:before="320"/>
      </w:pPr>
      <w:r>
        <w:rPr>
          <w:rFonts w:ascii="Calibri" w:cs="Calibri" w:eastAsia="Calibri" w:hAnsi="Calibri"/>
          <w:b/>
          <w:bCs/>
          <w:color w:val="1F3864"/>
          <w:sz w:val="26"/>
          <w:szCs w:val="26"/>
        </w:rPr>
        <w:t xml:space="preserve">3. Enfoque elegido y su justificación</w:t>
      </w:r>
    </w:p>
    <w:p>
      <w:pPr>
        <w:pStyle w:val="Heading2"/>
        <w:spacing w:after="120" w:before="240"/>
      </w:pPr>
      <w:r>
        <w:rPr>
          <w:rFonts w:ascii="Calibri" w:cs="Calibri" w:eastAsia="Calibri" w:hAnsi="Calibri"/>
          <w:b/>
          <w:bCs/>
          <w:color w:val="1F3864"/>
          <w:sz w:val="23"/>
          <w:szCs w:val="23"/>
        </w:rPr>
        <w:t xml:space="preserve">3.1 Evaluación basada en escenarios</w:t>
      </w:r>
    </w:p>
    <w:p>
      <w:pPr>
        <w:spacing w:after="120" w:line="276"/>
        <w:jc w:val="both"/>
      </w:pPr>
      <w:r>
        <w:rPr>
          <w:rFonts w:ascii="Calibri" w:cs="Calibri" w:eastAsia="Calibri" w:hAnsi="Calibri"/>
          <w:sz w:val="21"/>
          <w:szCs w:val="21"/>
        </w:rPr>
        <w:t xml:space="preserve">La unidad de análisis de esta metodología es el escenario de riesgo: una cadena de acontecimientos plausible, descrita de principio a fin, que parte de un origen (actor y motivación, o causa no intencionada), atraviesa una o varias interfaces de la organización y termina en una consecuencia para las personas, el patrimonio, la privacidad o el cumplimiento. Cada escenario se documenta, analiza y trata como un todo.</w:t>
      </w:r>
    </w:p>
    <w:p>
      <w:pPr>
        <w:spacing w:after="120" w:line="276"/>
        <w:jc w:val="both"/>
      </w:pPr>
      <w:r>
        <w:rPr>
          <w:rFonts w:ascii="Calibri" w:cs="Calibri" w:eastAsia="Calibri" w:hAnsi="Calibri"/>
          <w:sz w:val="21"/>
          <w:szCs w:val="21"/>
        </w:rPr>
        <w:t xml:space="preserve">Esta elección responde al contexto, no a una preferencia de estilo:</w:t>
      </w:r>
    </w:p>
    <w:p>
      <w:pPr>
        <w:pStyle w:val="ListParagraph"/>
        <w:numPr>
          <w:ilvl w:val="0"/>
          <w:numId w:val="2"/>
        </w:numPr>
        <w:spacing w:after="80" w:line="276"/>
        <w:jc w:val="both"/>
      </w:pPr>
      <w:r>
        <w:rPr>
          <w:rFonts w:ascii="Calibri" w:cs="Calibri" w:eastAsia="Calibri" w:hAnsi="Calibri"/>
          <w:sz w:val="21"/>
          <w:szCs w:val="21"/>
        </w:rPr>
        <w:t xml:space="preserve">Los riesgos que definen a esta organización son cadenas que cruzan los dominios físico y digital (SGSI-DOC-001, secciones 4 y 7.4). El cuasi-incidente que originó el SGSI —encargo delegado a un intermediario, aproximación al hijo mayor, extracción gradual de información y vigilancia física de confirmación— no es descomponible en pares activo-amenaza sin perder precisamente lo que lo hace peligroso: la secuencia.</w:t>
      </w:r>
    </w:p>
    <w:p>
      <w:pPr>
        <w:pStyle w:val="ListParagraph"/>
        <w:numPr>
          <w:ilvl w:val="0"/>
          <w:numId w:val="2"/>
        </w:numPr>
        <w:spacing w:after="80" w:line="276"/>
        <w:jc w:val="both"/>
      </w:pPr>
      <w:r>
        <w:rPr>
          <w:rFonts w:ascii="Calibri" w:cs="Calibri" w:eastAsia="Calibri" w:hAnsi="Calibri"/>
          <w:sz w:val="21"/>
          <w:szCs w:val="21"/>
        </w:rPr>
        <w:t xml:space="preserve">El análisis por escenarios produce resultados directamente accionables: cada control se justifica por el eslabón de la cadena que rompe, lo que facilita explicar las decisiones a una dirección no técnica y a la propiedad.</w:t>
      </w:r>
    </w:p>
    <w:p>
      <w:pPr>
        <w:pStyle w:val="ListParagraph"/>
        <w:numPr>
          <w:ilvl w:val="0"/>
          <w:numId w:val="2"/>
        </w:numPr>
        <w:spacing w:after="80" w:line="276"/>
        <w:jc w:val="both"/>
      </w:pPr>
      <w:r>
        <w:rPr>
          <w:rFonts w:ascii="Calibri" w:cs="Calibri" w:eastAsia="Calibri" w:hAnsi="Calibri"/>
          <w:sz w:val="21"/>
          <w:szCs w:val="21"/>
        </w:rPr>
        <w:t xml:space="preserve">Es proporcionado: una organización de nueve personas puede mantener vivo un catálogo de 15-25 escenarios; no puede mantener una matriz de cientos de combinaciones activo-amenaza-vulnerabilidad, que degeneraría en un documento muerto.</w:t>
      </w:r>
    </w:p>
    <w:p>
      <w:pPr>
        <w:pStyle w:val="Heading2"/>
        <w:spacing w:after="120" w:before="240"/>
      </w:pPr>
      <w:r>
        <w:rPr>
          <w:rFonts w:ascii="Calibri" w:cs="Calibri" w:eastAsia="Calibri" w:hAnsi="Calibri"/>
          <w:b/>
          <w:bCs/>
          <w:color w:val="1F3864"/>
          <w:sz w:val="23"/>
          <w:szCs w:val="23"/>
        </w:rPr>
        <w:t xml:space="preserve">3.2 Alternativas consideradas y descartadas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Alternativa</w:t>
            </w:r>
          </w:p>
        </w:tc>
        <w:tc>
          <w:tcPr>
            <w:tcW w:type="dxa" w:w="70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Motivo del descarte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Análisis por activos (MAGERIT y análogos)</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Diseñado para organizaciones y administraciones con grandes inventarios tecnológicos. Su exhaustividad es su virtud y su condena aquí: generaría cientos de combinaciones irrelevantes, exigiría un esfuerzo de mantenimiento inasumible y, sobre todo, no modela cadenas convergentes. El inventario de activos se mantiene igualmente (Anexo A 5.9), pero como insumo de los escenarios, no como eje del análisis.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Métodos cuantitativos (FAIR y análogos)</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Requieren datos de frecuencia e impacto económico que no existen para esta organización ni para su clase de riesgo dominante (daño a personas), cuya monetización sería además éticamente cuestionable como criterio de decisión. La falsa precisión de un número es peor que una escala ordinal honesta.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Cuestionarios de cumplimiento / checklists</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Evalúan presencia de controles, no riesgo. Habrían validado la situación previa al cuasi-incidente: una organización con cámaras, escoltas y antivirus, y completamente expuesta.</w:t>
            </w:r>
          </w:p>
        </w:tc>
      </w:tr>
    </w:tbl>
    <w:p>
      <w:pPr>
        <w:pStyle w:val="Heading1"/>
        <w:spacing w:after="160" w:before="320"/>
      </w:pPr>
      <w:r>
        <w:rPr>
          <w:rFonts w:ascii="Calibri" w:cs="Calibri" w:eastAsia="Calibri" w:hAnsi="Calibri"/>
          <w:b/>
          <w:bCs/>
          <w:color w:val="1F3864"/>
          <w:sz w:val="26"/>
          <w:szCs w:val="26"/>
        </w:rPr>
        <w:t xml:space="preserve">4. Criterios de riesgo</w:t>
      </w:r>
    </w:p>
    <w:p>
      <w:pPr>
        <w:pStyle w:val="Heading2"/>
        <w:spacing w:after="120" w:before="240"/>
      </w:pPr>
      <w:r>
        <w:rPr>
          <w:rFonts w:ascii="Calibri" w:cs="Calibri" w:eastAsia="Calibri" w:hAnsi="Calibri"/>
          <w:b/>
          <w:bCs/>
          <w:color w:val="1F3864"/>
          <w:sz w:val="23"/>
          <w:szCs w:val="23"/>
        </w:rPr>
        <w:t xml:space="preserve">4.1 Impacto</w:t>
      </w:r>
    </w:p>
    <w:p>
      <w:pPr>
        <w:spacing w:after="120" w:line="276"/>
        <w:jc w:val="both"/>
      </w:pPr>
      <w:r>
        <w:rPr>
          <w:rFonts w:ascii="Calibri" w:cs="Calibri" w:eastAsia="Calibri" w:hAnsi="Calibri"/>
          <w:sz w:val="21"/>
          <w:szCs w:val="21"/>
        </w:rPr>
        <w:t xml:space="preserve">El impacto de un escenario se valora en cuatro dimensiones. El nivel de impacto del escenario es el máximo de las cuatro, nunca su promedio: un riesgo grave para las personas no se diluye porque su coste económico sea menor. Esta regla es un criterio de decisión de la propiedad, expresado en la política (SGSI-DOC-003).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110"/>
        <w:gridCol w:w="2110"/>
        <w:gridCol w:w="2110"/>
        <w:gridCol w:w="2108"/>
      </w:tblGrid>
      <w:tr>
        <w:trPr>
          <w:tblHeader/>
        </w:trPr>
        <w:tc>
          <w:tcPr>
            <w:tcW w:type="dxa" w:w="1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Nivel</w:t>
            </w:r>
          </w:p>
        </w:tc>
        <w:tc>
          <w:tcPr>
            <w:tcW w:type="dxa" w:w="211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Personas</w:t>
            </w:r>
          </w:p>
        </w:tc>
        <w:tc>
          <w:tcPr>
            <w:tcW w:type="dxa" w:w="211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Patrimonio</w:t>
            </w:r>
          </w:p>
        </w:tc>
        <w:tc>
          <w:tcPr>
            <w:tcW w:type="dxa" w:w="211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Privacidad y reputación</w:t>
            </w:r>
          </w:p>
        </w:tc>
        <w:tc>
          <w:tcPr>
            <w:tcW w:type="dxa" w:w="210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Legal y contractual</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4 Muy grave</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Daño físico grave, secuestro o extorsión consumada contra un miembro de la familia o del personal</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Pérdida &gt; 1 M€ o disposición fraudulenta consumada</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Exposición pública de información de seguridad o de la vida privada de los menores</w:t>
            </w:r>
          </w:p>
        </w:tc>
        <w:tc>
          <w:tcPr>
            <w:tcW w:type="dxa" w:w="21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Infracción grave con sanción y/o pérdida de cobertura aseguradora</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3 Grave</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Amenaza creíble, acoso dirigido o tentativa sobre una persona concreta</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Pérdida 100 k€ – 1 M€</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Exposición de información patrimonial o de rutinas a terceros hostiles</w:t>
            </w:r>
          </w:p>
        </w:tc>
        <w:tc>
          <w:tcPr>
            <w:tcW w:type="dxa" w:w="21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Infracción con requerimiento o sanción de la autoridad</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 Significativo</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Situación de inseguridad percibida que altera la vida de la familia</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Pérdida 10 k€ – 100 k€</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Exposición limitada a terceros no hostiles</w:t>
            </w:r>
          </w:p>
        </w:tc>
        <w:tc>
          <w:tcPr>
            <w:tcW w:type="dxa" w:w="21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Incumplimiento contractual subsanable</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 Menor</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Sin efecto sobre personas</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Pérdida &lt; 10 k€</w:t>
            </w:r>
          </w:p>
        </w:tc>
        <w:tc>
          <w:tcPr>
            <w:tcW w:type="dxa" w:w="21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Exposición interna o anecdótica</w:t>
            </w:r>
          </w:p>
        </w:tc>
        <w:tc>
          <w:tcPr>
            <w:tcW w:type="dxa" w:w="21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Desviación formal sin consecuencia</w:t>
            </w:r>
          </w:p>
        </w:tc>
      </w:tr>
    </w:tbl>
    <w:p>
      <w:pPr>
        <w:pStyle w:val="Heading2"/>
        <w:spacing w:after="120" w:before="240"/>
      </w:pPr>
      <w:r>
        <w:rPr>
          <w:rFonts w:ascii="Calibri" w:cs="Calibri" w:eastAsia="Calibri" w:hAnsi="Calibri"/>
          <w:b/>
          <w:bCs/>
          <w:color w:val="1F3864"/>
          <w:sz w:val="23"/>
          <w:szCs w:val="23"/>
        </w:rPr>
        <w:t xml:space="preserve">4.2 Probabilidad</w:t>
      </w:r>
    </w:p>
    <w:p>
      <w:pPr>
        <w:spacing w:after="120" w:line="276"/>
        <w:jc w:val="both"/>
      </w:pPr>
      <w:r/>
      <w:r>
        <w:rPr>
          <w:rFonts w:ascii="Calibri" w:hAnsi="Calibri"/>
        </w:rPr>
        <w:t>La probabilidad no mide una frecuencia estadística, que esta organización no puede estimar con fiabilidad, sino el grado de exposición del escenario: cuántas condiciones se acumulan para que la cadena llegue a ocurrir. Un mismo suceso es raro o muy probable según dónde y cómo esté expuesta la organización. Las condiciones de exposición que se valoran son: información necesaria disponible en abierto (redes, prensa, registros públicos); acceso físico fácil o no controlado; persona con motivo dentro o cerca (empleado, contrata, contacto del entorno); notoriedad pública del principal; y precedente propio o en el entorno inmediato. La diferencia entre el nivel 3 y el 4 es una señal observada: el 4 exige que ya haya ocurrido algo, no que se imagine.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Nivel</w:t>
            </w:r>
          </w:p>
        </w:tc>
        <w:tc>
          <w:tcPr>
            <w:tcW w:type="dxa" w:w="77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Anclaje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4 Muy probable</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Se cumplen condiciones de exposición Y EXISTE UNA SEÑAL OBSERVADA: el escenario ya ha ocurrido en la organización o su entorno inmediato, hay indicios activos, o alguien lo ha intentado. El nivel 4 no se asigna por intuición ni por la gravedad del daño; exige haber visto algo.</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3 Probable</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Varias condiciones de exposición apiladas, sin señal observada todavía: la información necesaria está disponible, el acceso es fácil o no está controlado, y existe una persona con motivo dentro o cerca. La acumulación hace el escenario esperable aunque no conste ningún intento.</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2 Posible</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Existe exposición pero las condiciones no se acumulan: falta el acceso, falta el motivo cercano, o la información no está disponible. El escenario es concebible pero no hay nada que lo empuje.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1 Raro</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b w:val="0"/>
                <w:sz w:val="19"/>
                <w:szCs w:val="19"/>
              </w:rPr>
              <w:t>Ninguna condición de exposición presente. El escenario requeriría que un actor fuera expresamente a por la organización reuniendo por sí mismo capacidad, acceso e información.</w:t>
            </w:r>
          </w:p>
        </w:tc>
      </w:tr>
    </w:tbl>
    <w:p>
      <w:pPr>
        <w:pStyle w:val="Heading2"/>
        <w:spacing w:after="120" w:before="240"/>
      </w:pPr>
      <w:r>
        <w:rPr>
          <w:rFonts w:ascii="Calibri" w:cs="Calibri" w:eastAsia="Calibri" w:hAnsi="Calibri"/>
          <w:b/>
          <w:bCs/>
          <w:color w:val="1F3864"/>
          <w:sz w:val="23"/>
          <w:szCs w:val="23"/>
        </w:rPr>
        <w:t xml:space="preserve">4.3 Matriz y niveles de riesgo</w:t>
      </w:r>
    </w:p>
    <w:p>
      <w:pPr>
        <w:spacing w:after="120" w:line="276"/>
        <w:jc w:val="both"/>
      </w:pPr>
      <w:r>
        <w:rPr>
          <w:rFonts w:ascii="Calibri" w:cs="Calibri" w:eastAsia="Calibri" w:hAnsi="Calibri"/>
          <w:sz w:val="21"/>
          <w:szCs w:val="21"/>
        </w:rPr>
        <w:t xml:space="preserve">El nivel de riesgo es el producto probabilidad × impacto: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950"/>
        <w:gridCol w:w="1950"/>
        <w:gridCol w:w="1950"/>
        <w:gridCol w:w="1950"/>
      </w:tblGrid>
      <w:tr>
        <w:trPr>
          <w:tblHeader/>
        </w:trPr>
        <w:tc>
          <w:tcPr>
            <w:tcW w:type="dxa" w:w="18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Probabilidad \ Impacto</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1 Menor</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2 Significativo</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 Grave</w:t>
            </w:r>
          </w:p>
        </w:tc>
        <w:tc>
          <w:tcPr>
            <w:tcW w:type="dxa" w:w="195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4 Muy grave</w:t>
            </w:r>
          </w:p>
        </w:tc>
      </w:tr>
      <w:tr>
        <w:trPr/>
        <w:tc>
          <w:tcPr>
            <w:tcW w:type="dxa" w:w="18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4 Muy probable</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(4)</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(8)</w:t>
            </w:r>
          </w:p>
        </w:tc>
        <w:tc>
          <w:tcPr>
            <w:tcW w:type="dxa" w:w="1950"/>
            <w:tcBorders>
              <w:top w:val="single" w:color="999999" w:sz="4"/>
              <w:left w:val="single" w:color="999999" w:sz="4"/>
              <w:bottom w:val="single" w:color="999999" w:sz="4"/>
              <w:right w:val="single" w:color="999999" w:sz="4"/>
            </w:tcBorders>
            <w:shd w:fill="FF99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Crítico (12)</w:t>
            </w:r>
          </w:p>
        </w:tc>
        <w:tc>
          <w:tcPr>
            <w:tcW w:type="dxa" w:w="1950"/>
            <w:tcBorders>
              <w:top w:val="single" w:color="999999" w:sz="4"/>
              <w:left w:val="single" w:color="999999" w:sz="4"/>
              <w:bottom w:val="single" w:color="999999" w:sz="4"/>
              <w:right w:val="single" w:color="999999" w:sz="4"/>
            </w:tcBorders>
            <w:shd w:fill="FF99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Crítico (16)</w:t>
            </w:r>
          </w:p>
        </w:tc>
      </w:tr>
      <w:tr>
        <w:trPr/>
        <w:tc>
          <w:tcPr>
            <w:tcW w:type="dxa" w:w="18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3 Probable</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(3)</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(6)</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(9)</w:t>
            </w:r>
          </w:p>
        </w:tc>
        <w:tc>
          <w:tcPr>
            <w:tcW w:type="dxa" w:w="1950"/>
            <w:tcBorders>
              <w:top w:val="single" w:color="999999" w:sz="4"/>
              <w:left w:val="single" w:color="999999" w:sz="4"/>
              <w:bottom w:val="single" w:color="999999" w:sz="4"/>
              <w:right w:val="single" w:color="999999" w:sz="4"/>
            </w:tcBorders>
            <w:shd w:fill="FF99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Crítico (12)</w:t>
            </w:r>
          </w:p>
        </w:tc>
      </w:tr>
      <w:tr>
        <w:trPr/>
        <w:tc>
          <w:tcPr>
            <w:tcW w:type="dxa" w:w="18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2 Posible</w:t>
            </w:r>
          </w:p>
        </w:tc>
        <w:tc>
          <w:tcPr>
            <w:tcW w:type="dxa" w:w="1950"/>
            <w:tcBorders>
              <w:top w:val="single" w:color="999999" w:sz="4"/>
              <w:left w:val="single" w:color="999999" w:sz="4"/>
              <w:bottom w:val="single" w:color="999999" w:sz="4"/>
              <w:right w:val="single" w:color="999999" w:sz="4"/>
            </w:tcBorders>
            <w:shd w:fill="C6E0B4"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Bajo (2)</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(4)</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(6)</w:t>
            </w:r>
          </w:p>
        </w:tc>
        <w:tc>
          <w:tcPr>
            <w:tcW w:type="dxa" w:w="1950"/>
            <w:tcBorders>
              <w:top w:val="single" w:color="999999" w:sz="4"/>
              <w:left w:val="single" w:color="999999" w:sz="4"/>
              <w:bottom w:val="single" w:color="999999" w:sz="4"/>
              <w:right w:val="single" w:color="999999" w:sz="4"/>
            </w:tcBorders>
            <w:shd w:fill="F8CBAD"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Alto (8)</w:t>
            </w:r>
          </w:p>
        </w:tc>
      </w:tr>
      <w:tr>
        <w:trPr/>
        <w:tc>
          <w:tcPr>
            <w:tcW w:type="dxa" w:w="1838"/>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jc w:val="center"/>
            </w:pPr>
            <w:r>
              <w:rPr>
                <w:rFonts w:ascii="Calibri" w:cs="Calibri" w:eastAsia="Calibri" w:hAnsi="Calibri"/>
                <w:b/>
                <w:bCs/>
                <w:sz w:val="19"/>
                <w:szCs w:val="19"/>
              </w:rPr>
              <w:t xml:space="preserve">1 Raro</w:t>
            </w:r>
          </w:p>
        </w:tc>
        <w:tc>
          <w:tcPr>
            <w:tcW w:type="dxa" w:w="1950"/>
            <w:tcBorders>
              <w:top w:val="single" w:color="999999" w:sz="4"/>
              <w:left w:val="single" w:color="999999" w:sz="4"/>
              <w:bottom w:val="single" w:color="999999" w:sz="4"/>
              <w:right w:val="single" w:color="999999" w:sz="4"/>
            </w:tcBorders>
            <w:shd w:fill="C6E0B4"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Bajo (1)</w:t>
            </w:r>
          </w:p>
        </w:tc>
        <w:tc>
          <w:tcPr>
            <w:tcW w:type="dxa" w:w="1950"/>
            <w:tcBorders>
              <w:top w:val="single" w:color="999999" w:sz="4"/>
              <w:left w:val="single" w:color="999999" w:sz="4"/>
              <w:bottom w:val="single" w:color="999999" w:sz="4"/>
              <w:right w:val="single" w:color="999999" w:sz="4"/>
            </w:tcBorders>
            <w:shd w:fill="C6E0B4"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Bajo (2)</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(3)</w:t>
            </w:r>
          </w:p>
        </w:tc>
        <w:tc>
          <w:tcPr>
            <w:tcW w:type="dxa" w:w="1950"/>
            <w:tcBorders>
              <w:top w:val="single" w:color="999999" w:sz="4"/>
              <w:left w:val="single" w:color="999999" w:sz="4"/>
              <w:bottom w:val="single" w:color="999999" w:sz="4"/>
              <w:right w:val="single" w:color="999999" w:sz="4"/>
            </w:tcBorders>
            <w:shd w:fill="FFE699"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Moderado (4)</w:t>
            </w:r>
          </w:p>
        </w:tc>
      </w:tr>
    </w:tbl>
    <w:p>
      <w:pPr>
        <w:pStyle w:val="Heading2"/>
        <w:spacing w:after="120" w:before="240"/>
      </w:pPr>
      <w:r>
        <w:rPr>
          <w:rFonts w:ascii="Calibri" w:cs="Calibri" w:eastAsia="Calibri" w:hAnsi="Calibri"/>
          <w:b/>
          <w:bCs/>
          <w:color w:val="1F3864"/>
          <w:sz w:val="23"/>
          <w:szCs w:val="23"/>
        </w:rPr>
        <w:t xml:space="preserve">4.4 Criterios de aceptación del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Nivel</w:t>
            </w:r>
          </w:p>
        </w:tc>
        <w:tc>
          <w:tcPr>
            <w:tcW w:type="dxa" w:w="77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Regla de aceptación</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Bajo (1–2)</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Aceptable. Registro y revisión anual.</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Moderado (3–4)</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Aceptable con justificación documentada del propietario del riesgo, que es quien lo acepta (ISO/IEC 27001 6.1.3 f).</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Alto (6–9)</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Requiere plan de tratamiento. El plan lo aprueba y el riesgo residual lo acepta el propietario del riesgo, conforme a ISO/IEC 27001 6.1.3 f). Sobre ese mínimo, esta organización exige además ratificación expresa del Comité de Seguridad Convergente para todo residual de nivel Alto, registrada en acta: la norma pone la responsabilidad en una persona precisamente para que no se diluya en un órgano, y el requisito propio se suma a esa aceptación en lugar de sustituirla.</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Crítico (12–16)</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Tratamiento inmediato y prioritario. No aceptable como riesgo residual; si el tratamiento no logra reducirlo, la decisión escala a la propiedad con opciones de evitación (cambiar la actividad que lo genera).</w:t>
            </w:r>
          </w:p>
        </w:tc>
      </w:tr>
    </w:tbl>
    <w:p>
      <w:pPr>
        <w:pStyle w:val="Heading1"/>
        <w:spacing w:after="160" w:before="320"/>
      </w:pPr>
      <w:r>
        <w:rPr>
          <w:rFonts w:ascii="Calibri" w:cs="Calibri" w:eastAsia="Calibri" w:hAnsi="Calibri"/>
          <w:b/>
          <w:bCs/>
          <w:color w:val="1F3864"/>
          <w:sz w:val="26"/>
          <w:szCs w:val="26"/>
        </w:rPr>
        <w:t xml:space="preserve">5. Proceso de evaluación</w:t>
      </w:r>
    </w:p>
    <w:p>
      <w:pPr>
        <w:pStyle w:val="Heading2"/>
        <w:spacing w:after="120" w:before="240"/>
      </w:pPr>
      <w:r>
        <w:rPr>
          <w:rFonts w:ascii="Calibri" w:cs="Calibri" w:eastAsia="Calibri" w:hAnsi="Calibri"/>
          <w:b/>
          <w:bCs/>
          <w:color w:val="1F3864"/>
          <w:sz w:val="23"/>
          <w:szCs w:val="23"/>
        </w:rPr>
        <w:t xml:space="preserve">5.1 Identificación de escenarios</w:t>
      </w:r>
    </w:p>
    <w:p>
      <w:pPr>
        <w:spacing w:after="120" w:line="276"/>
        <w:jc w:val="both"/>
      </w:pPr>
      <w:r>
        <w:rPr>
          <w:rFonts w:ascii="Calibri" w:cs="Calibri" w:eastAsia="Calibri" w:hAnsi="Calibri"/>
          <w:sz w:val="21"/>
          <w:szCs w:val="21"/>
        </w:rPr>
        <w:t xml:space="preserve">El catálogo de escenarios se construye y alimenta desde cuatro fuentes, por este orden de autoridad:</w:t>
      </w:r>
    </w:p>
    <w:p>
      <w:pPr>
        <w:pStyle w:val="ListParagraph"/>
        <w:numPr>
          <w:ilvl w:val="0"/>
          <w:numId w:val="2"/>
        </w:numPr>
        <w:spacing w:after="80" w:line="276"/>
        <w:jc w:val="both"/>
      </w:pPr>
      <w:r>
        <w:rPr>
          <w:rFonts w:ascii="Calibri" w:cs="Calibri" w:eastAsia="Calibri" w:hAnsi="Calibri"/>
          <w:sz w:val="21"/>
          <w:szCs w:val="21"/>
        </w:rPr>
        <w:t xml:space="preserve">Las interfaces del alcance (SGSI-DOC-001, sección 7.4): cada interfaz debe tener al menos un escenario que la ponga a prueba. Una interfaz sin escenario asociado es una laguna de identificación, no una zona segura.</w:t>
      </w:r>
    </w:p>
    <w:p>
      <w:pPr>
        <w:pStyle w:val="ListParagraph"/>
        <w:numPr>
          <w:ilvl w:val="0"/>
          <w:numId w:val="2"/>
        </w:numPr>
        <w:spacing w:after="80" w:line="276"/>
        <w:jc w:val="both"/>
      </w:pPr>
      <w:r>
        <w:rPr>
          <w:rFonts w:ascii="Calibri" w:cs="Calibri" w:eastAsia="Calibri" w:hAnsi="Calibri"/>
          <w:sz w:val="21"/>
          <w:szCs w:val="21"/>
        </w:rPr>
        <w:t xml:space="preserve">Precedentes propios: incidentes y cuasi-incidentes de la organización.</w:t>
      </w:r>
    </w:p>
    <w:p>
      <w:r>
        <w:t>Precisión de la regla de convergencia: el soporte en papel de un registro no acredita el dominio DIGITAL. C-039 y C-044 son ORGANIZATIVO y dejan pendiente el componente digital de RSC-019 y RSC-020. El validador ejecuta la clasificación del registro; su resultado requiere que esa clasificación esté justificada. La revisión de septiembre no añade sistemas ni altera valoraciones inherentes.</w:t>
      </w:r>
    </w:p>
    <w:p>
      <w:pPr>
        <w:pStyle w:val="ListParagraph"/>
        <w:numPr>
          <w:ilvl w:val="0"/>
          <w:numId w:val="2"/>
        </w:numPr>
        <w:spacing w:after="80" w:line="276"/>
        <w:jc w:val="both"/>
      </w:pPr>
      <w:r>
        <w:rPr>
          <w:rFonts w:ascii="Calibri" w:cs="Calibri" w:eastAsia="Calibri" w:hAnsi="Calibri"/>
          <w:sz w:val="21"/>
          <w:szCs w:val="21"/>
        </w:rPr>
        <w:t xml:space="preserve">Inteligencia de amenazas del entorno: patrones criminales documentados en la Costa del Sol y contra perfiles comparables (grandes patrimonios, figuras públicas), aportados por el jefe de seguridad y fuentes externas (Anexo A 5.7).</w:t>
      </w:r>
    </w:p>
    <w:p>
      <w:pPr>
        <w:pStyle w:val="ListParagraph"/>
        <w:numPr>
          <w:ilvl w:val="0"/>
          <w:numId w:val="2"/>
        </w:numPr>
        <w:spacing w:after="80" w:line="276"/>
        <w:jc w:val="both"/>
      </w:pPr>
      <w:r>
        <w:rPr>
          <w:rFonts w:ascii="Calibri" w:cs="Calibri" w:eastAsia="Calibri" w:hAnsi="Calibri"/>
          <w:sz w:val="21"/>
          <w:szCs w:val="21"/>
        </w:rPr>
        <w:t xml:space="preserve">Sesiones estructuradas con el personal clave y, a través de la representante de la propiedad, con la familia: quién podría querer hacernos daño, qué sabe, qué necesitaría saber.</w:t>
      </w:r>
    </w:p>
    <w:p>
      <w:pPr>
        <w:pStyle w:val="Heading2"/>
        <w:spacing w:after="120" w:before="240"/>
      </w:pPr>
      <w:r>
        <w:rPr>
          <w:rFonts w:ascii="Calibri" w:cs="Calibri" w:eastAsia="Calibri" w:hAnsi="Calibri"/>
          <w:b/>
          <w:bCs/>
          <w:color w:val="1F3864"/>
          <w:sz w:val="23"/>
          <w:szCs w:val="23"/>
        </w:rPr>
        <w:t xml:space="preserve">5.2 Documentación de cada escenario</w:t>
      </w:r>
    </w:p>
    <w:p>
      <w:pPr>
        <w:spacing w:after="120" w:line="276"/>
        <w:jc w:val="both"/>
      </w:pPr>
      <w:r>
        <w:rPr>
          <w:rFonts w:ascii="Calibri" w:cs="Calibri" w:eastAsia="Calibri" w:hAnsi="Calibri"/>
          <w:sz w:val="21"/>
          <w:szCs w:val="21"/>
        </w:rPr>
        <w:t xml:space="preserve">Cada escenario se registra en el registro de riesgos (SGSI-REG-001) con: código; título; narrativa de la cadena (origen, vector, secuencia, consecuencia); interfaces y activos implicados; componentes físicos y digitales de la cadena, que deben identificarse siempre y por separado; controles existentes y su posición en la cadena; valoración de impacto (las cuatro dimensiones y el máximo), probabilidad, nivel resultante; propietario del riesgo; y decisión de tratamiento.</w:t>
      </w:r>
    </w:p>
    <w:p>
      <w:pPr>
        <w:pStyle w:val="Heading2"/>
        <w:spacing w:after="120" w:before="240"/>
      </w:pPr>
      <w:r>
        <w:rPr>
          <w:rFonts w:ascii="Calibri" w:cs="Calibri" w:eastAsia="Calibri" w:hAnsi="Calibri"/>
          <w:b/>
          <w:bCs/>
          <w:color w:val="1F3864"/>
          <w:sz w:val="23"/>
          <w:szCs w:val="23"/>
        </w:rPr>
        <w:t xml:space="preserve">5.3 Análisis y evaluación</w:t>
      </w:r>
    </w:p>
    <w:p>
      <w:pPr>
        <w:spacing w:after="120" w:line="276"/>
        <w:jc w:val="both"/>
      </w:pPr>
      <w:r>
        <w:rPr>
          <w:rFonts w:ascii="Calibri" w:cs="Calibri" w:eastAsia="Calibri" w:hAnsi="Calibri"/>
          <w:sz w:val="21"/>
          <w:szCs w:val="21"/>
        </w:rPr>
        <w:t xml:space="preserve">La valoración la realiza el Comité de Seguridad Convergente en sesión conjunta, nunca una persona en solitario: la probabilidad de una cadena convergente no la conoce nadie individualmente, porque cada miembro ve un tramo (el jefe de seguridad, el físico; la Dirección General, el organizativo; la representante de la propiedad, el familiar). El consultor externo modera y documenta durante la implantación. Las discrepancias de valoración se resuelven a favor del valor más alto y se anotan.</w:t>
      </w:r>
    </w:p>
    <w:p>
      <w:pPr>
        <w:pStyle w:val="Heading1"/>
        <w:spacing w:after="160" w:before="320"/>
      </w:pPr>
      <w:r>
        <w:rPr>
          <w:rFonts w:ascii="Calibri" w:cs="Calibri" w:eastAsia="Calibri" w:hAnsi="Calibri"/>
          <w:b/>
          <w:bCs/>
          <w:color w:val="1F3864"/>
          <w:sz w:val="26"/>
          <w:szCs w:val="26"/>
        </w:rPr>
        <w:t xml:space="preserve">6. Tratamiento del riesgo</w:t>
      </w:r>
    </w:p>
    <w:p>
      <w:pPr>
        <w:spacing w:after="120" w:line="276"/>
        <w:jc w:val="both"/>
      </w:pPr>
      <w:r>
        <w:rPr>
          <w:rFonts w:ascii="Calibri" w:cs="Calibri" w:eastAsia="Calibri" w:hAnsi="Calibri"/>
          <w:sz w:val="21"/>
          <w:szCs w:val="21"/>
        </w:rPr>
        <w:t xml:space="preserve">Opciones de tratamiento, conforme a la taxonomía de ISO/IEC 27005 e ISO 31000 que la cláusula 6.1.3 a) de ISO/IEC 27001 permite seleccionar —la norma exige elegir opciones apropiadas, no enumera cuáles—: modificar (implantar o reforzar controles), evitar (eliminar la actividad o exposición que origina la cadena), compartir (transferencia contractual o aseguradora, con la cautela de que el daño a personas no es transferible) y retener (según los criterios de 4.4).</w:t>
      </w:r>
    </w:p>
    <w:p>
      <w:pPr>
        <w:spacing w:after="120" w:line="276"/>
        <w:jc w:val="both"/>
      </w:pPr>
      <w:r>
        <w:rPr>
          <w:rFonts w:ascii="Calibri" w:cs="Calibri" w:eastAsia="Calibri" w:hAnsi="Calibri"/>
          <w:sz w:val="21"/>
          <w:szCs w:val="21"/>
        </w:rPr>
        <w:t xml:space="preserve">Reglas de diseño del tratamiento, específicas de esta metodología:</w:t>
      </w:r>
    </w:p>
    <w:p>
      <w:pPr>
        <w:pStyle w:val="ListParagraph"/>
        <w:numPr>
          <w:ilvl w:val="0"/>
          <w:numId w:val="2"/>
        </w:numPr>
        <w:spacing w:after="80" w:line="276"/>
        <w:jc w:val="both"/>
      </w:pPr>
      <w:r>
        <w:rPr>
          <w:rFonts w:ascii="Calibri" w:cs="Calibri" w:eastAsia="Calibri" w:hAnsi="Calibri"/>
          <w:sz w:val="21"/>
          <w:szCs w:val="21"/>
        </w:rPr>
        <w:t xml:space="preserve">Los controles se seleccionan por el eslabón que rompen: cada control del plan de tratamiento debe indicar en qué punto de la cadena actúa y por qué ese punto (cuanto más temprano, mejor: romper la fase de obtención de información evita tener que ganar en la fase de ejecución).</w:t>
      </w:r>
    </w:p>
    <w:p>
      <w:pPr>
        <w:pStyle w:val="ListParagraph"/>
        <w:numPr>
          <w:ilvl w:val="0"/>
          <w:numId w:val="2"/>
        </w:numPr>
        <w:spacing w:after="80" w:line="276"/>
        <w:jc w:val="both"/>
      </w:pPr>
      <w:r/>
      <w:r>
        <w:rPr>
          <w:rFonts w:ascii="Calibri" w:hAnsi="Calibri"/>
        </w:rPr>
        <w:t>Profundidad en defensa convergente: los escenarios de nivel Alto y Crítico requieren cobertura efectiva en los dominios físico y digital. La regla se aplica al escenario en su conjunto, no a cada control: un escenario puede tener varios controles físicos y uno digital, o al revés, y cumplir. Los controles organizativos son necesarios pero no satisfacen por sí solos ninguna de las dos patas. Un escenario convergente tratado solo con controles digitales, o solo con físicos, se considera no tratado. La cobertura es efectiva cuando concurren tres condiciones: el control está implantado, su ejecución deja evidencia registrada y su última verificación se encuentra dentro de la periodicidad asignada. No cuentan como cobertura a estos efectos ni un control planificado, ni un control implantado sin prueba de que se ejecuta, ni un control cuya verificación ha vencido. Esta precisión responde a un hallazgo del propio análisis: en esta organización existen controles físicos contratados y operativos sobre el papel (alarma, vigilancia) cuya inejecución recurrente los deja sin efecto real (RSC-018).</w:t>
      </w:r>
    </w:p>
    <w:p>
      <w:pPr>
        <w:pStyle w:val="ListParagraph"/>
        <w:numPr>
          <w:ilvl w:val="0"/>
          <w:numId w:val="2"/>
        </w:numPr>
        <w:spacing w:after="80" w:line="276"/>
        <w:jc w:val="both"/>
      </w:pPr>
      <w:r>
        <w:rPr>
          <w:rFonts w:ascii="Calibri" w:cs="Calibri" w:eastAsia="Calibri" w:hAnsi="Calibri"/>
          <w:sz w:val="21"/>
          <w:szCs w:val="21"/>
        </w:rPr>
        <w:t xml:space="preserve">Verificación periódica de los controles: todo control del plan de tratamiento lleva asignada una periodicidad de verificación, y el registro conserva la fecha de la última verificación realizada (SGSI-REG-001, hoja Controles). La periodicidad no se ancla al nivel del escenario que el control soporta, sino a la velocidad con la que ese control pierde vigencia sin que nadie lo advierta. Se establecen tres tramos: 90 días para los controles cuyo contenido cambia con cada alta o baja de personas o con cada cambio de configuración (listas de acceso, autorizaciones de terceros, configuraciones técnicas); 180 días para las rutinas operativas, que no cambian de un mes a otro pero se relajan con la costumbre (armado de la alarma, protocolo de traslado, verificación de órdenes); y 365 días para acuerdos, normas familiares, cláusulas contractuales y formación, cuya revisión más frecuente degenera en firma automática. El criterio es deliberado: una periodicidad que la organización no va a cumplir produce un registro que miente, y un registro que miente es peor que la ausencia de registro. El vencimiento de la verificación no altera el estado del control en la Declaración de Aplicabilidad: el control sigue implantado y lo que queda en cuestión no es su existencia, sino la acreditación de su eficacia. Se trata, por tanto, como cobertura degradada del escenario y es entrada de la revisión por la dirección (SGSI-DOC-010 §3.1), no como una reclasificación del control.</w:t>
      </w:r>
    </w:p>
    <w:p>
      <w:pPr>
        <w:pStyle w:val="ListParagraph"/>
        <w:numPr>
          <w:ilvl w:val="0"/>
          <w:numId w:val="2"/>
        </w:numPr>
        <w:spacing w:after="80" w:line="276"/>
        <w:jc w:val="both"/>
      </w:pPr>
      <w:r>
        <w:rPr>
          <w:rFonts w:ascii="Calibri" w:cs="Calibri" w:eastAsia="Calibri" w:hAnsi="Calibri"/>
          <w:sz w:val="21"/>
          <w:szCs w:val="21"/>
        </w:rPr>
        <w:t xml:space="preserve">Todo control seleccionado se refleja en la Declaración de Aplicabilidad con referencia al escenario o escenarios que lo justifican. Un control sin escenario detrás es un candidato a eliminación, no un mérito.</w:t>
      </w:r>
    </w:p>
    <w:p>
      <w:pPr>
        <w:spacing w:before="200" w:after="80"/>
        <w:jc w:val="center"/>
      </w:pPr>
      <w:r>
        <w:drawing>
          <wp:inline distT="0" distB="0" distL="0" distR="0">
            <wp:extent cx="5486400" cy="4506686"/>
            <wp:effectExtent l="0" t="0" r="0" b="0"/>
            <wp:docPr id="9011" name="Diagrama DOC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Diagrama DOC004"/>
                    <pic:cNvPicPr/>
                  </pic:nvPicPr>
                  <pic:blipFill>
                    <a:blip r:embed="rId10"/>
                    <a:stretch>
                      <a:fillRect/>
                    </a:stretch>
                  </pic:blipFill>
                  <pic:spPr>
                    <a:xfrm>
                      <a:off x="0" y="0"/>
                      <a:ext cx="5486400" cy="4506686"/>
                    </a:xfrm>
                    <a:prstGeom prst="rect">
                      <a:avLst/>
                    </a:prstGeom>
                  </pic:spPr>
                </pic:pic>
              </a:graphicData>
            </a:graphic>
          </wp:inline>
        </w:drawing>
      </w:r>
    </w:p>
    <w:p>
      <w:pPr>
        <w:spacing w:after="200"/>
        <w:jc w:val="center"/>
      </w:pPr>
      <w:r>
        <w:rPr>
          <w:rFonts w:ascii="Calibri" w:cs="Calibri" w:eastAsia="Calibri" w:hAnsi="Calibri"/>
          <w:i/>
          <w:iCs/>
          <w:color w:val="666666"/>
          <w:sz w:val="17"/>
          <w:szCs w:val="17"/>
        </w:rPr>
        <w:t xml:space="preserve">Figura 1. Árbol de decisión de la regla de convergencia (SGSI-DOC-004 §6).</w:t>
      </w:r>
    </w:p>
    <w:p>
      <w:pPr>
        <w:spacing w:after="120" w:line="276"/>
        <w:jc w:val="both"/>
      </w:pPr>
      <w:r>
        <w:rPr>
          <w:rFonts w:ascii="Calibri" w:cs="Calibri" w:eastAsia="Calibri" w:hAnsi="Calibri"/>
          <w:b/>
          <w:bCs/>
          <w:sz w:val="21"/>
          <w:szCs w:val="21"/>
        </w:rPr>
        <w:t xml:space="preserve">Estado de la cobertura a fecha de corte. </w:t>
      </w:r>
      <w:r>
        <w:rPr>
          <w:rFonts w:ascii="Calibri" w:cs="Calibri" w:eastAsia="Calibri" w:hAnsi="Calibri"/>
          <w:sz w:val="21"/>
          <w:szCs w:val="21"/>
        </w:rPr>
        <w:t>La cobertura efectiva exige que el control esté implantado, que su ejecución deje evidencia registrada y que su verificación se encuentre en plazo. A 24/07/2026, fecha de corte del sistema, ningún control del registro ha alcanzado el estado IMPLEMENTADO, y en consecuencia ninguno registra verificación alguna: el SGSI se encuentra en implantación y su primera auditoría interna está planificada para el primer semestre de 2027. En consecuencia, y por aplicación literal de esta regla, ningún escenario del registro alcanza todavía cobertura convergente efectiva. La columna «Dominios del escenario» de SGSI-REG-001 indica los dominios que el escenario atraviesa, no la cobertura alcanzada ni la prevista: la cobertura por dominios de cada escenario se lee en la hoja «Controles» del registro y la comprueba el validador. La verificación de la regla sobre cobertura efectiva se realiza al cierre de cada plan de tratamiento y es entrada obligatoria de la revisión por la dirección (SGSI-DOC-010 §3.1). Declararlo forma parte de la propia regla: un sistema que se apoya en un requisito verificable debe declarar cuándo aún no lo cumple.</w:t>
      </w:r>
    </w:p>
    <w:p>
      <w:pPr>
        <w:spacing w:after="120" w:line="276"/>
        <w:jc w:val="both"/>
      </w:pPr>
      <w:r>
        <w:rPr>
          <w:rFonts w:ascii="Calibri" w:cs="Calibri" w:eastAsia="Calibri" w:hAnsi="Calibri"/>
          <w:b/>
          <w:bCs/>
          <w:sz w:val="21"/>
          <w:szCs w:val="21"/>
        </w:rPr>
        <w:t xml:space="preserve">Verificación de la regla. </w:t>
      </w:r>
      <w:r>
        <w:rPr>
          <w:rFonts w:ascii="Calibri" w:cs="Calibri" w:eastAsia="Calibri" w:hAnsi="Calibri"/>
          <w:sz w:val="21"/>
          <w:szCs w:val="21"/>
        </w:rPr>
        <w:t xml:space="preserve">La comprobación de la regla de convergencia sobre el registro no se realiza de forma manual. Las hojas «Registro de riesgos» y «Controles» de SGSI-REG-001 se exportan en formato CSV y se procesan con un validador que reproduce literalmente los criterios de esta metodología: regla del máximo sobre las cuatro dimensiones de impacto, umbrales de nivel del §4.3, selección de los escenarios de nivel Alto y Crítico y las tres condiciones de cobertura efectiva enunciadas más arriba. Para cada escenario sujeto a la regla devuelve uno de cuatro diagnósticos: cobertura convergente, falta cobertura física, falta cobertura digital o sin cobertura. Es la verificación técnica que SGSI-DOC-010 §3.1 recoge como entrada de la revisión por la dirección, y se ejecuta como mínimo al cierre de cada plan de tratamiento y con anterioridad a cada revisión anual. El motivo de la decisión es de sostenibilidad y no de tecnología: un requisito que solo se comprueba a mano deja de comprobarse en cuanto el catálogo crece, y un registro que ya nadie cruza deja de ser un registro. Esta exigencia condiciona el diseño del propio registro: una fila por control, vocabulario cerrado de dominio y de estado, y la periodicidad y la fecha de última verificación consignadas como dato y no como comentario.</w:t>
      </w:r>
    </w:p>
    <w:p>
      <w:pPr>
        <w:spacing w:after="120" w:line="276"/>
        <w:jc w:val="both"/>
      </w:pPr>
      <w:r>
        <w:rPr>
          <w:rFonts w:ascii="Calibri" w:cs="Calibri" w:eastAsia="Calibri" w:hAnsi="Calibri"/>
          <w:sz w:val="21"/>
          <w:szCs w:val="21"/>
        </w:rPr>
        <w:t xml:space="preserve">El plan de tratamiento (SGSI-REG-002) recoge, por riesgo: controles elegidos, responsable de implantación, plazo, recursos y riesgo residual estimado. El riesgo residual se valora con las mismas escalas y se somete a los criterios de aceptación de 4.4.</w:t>
      </w:r>
    </w:p>
    <w:p>
      <w:pPr>
        <w:pStyle w:val="Heading1"/>
        <w:spacing w:after="160" w:before="320"/>
      </w:pPr>
      <w:r>
        <w:rPr>
          <w:rFonts w:ascii="Calibri" w:cs="Calibri" w:eastAsia="Calibri" w:hAnsi="Calibri"/>
          <w:b/>
          <w:bCs/>
          <w:color w:val="1F3864"/>
          <w:sz w:val="26"/>
          <w:szCs w:val="26"/>
        </w:rPr>
        <w:t xml:space="preserve">7. Propietarios del riesgo</w:t>
      </w:r>
    </w:p>
    <w:p>
      <w:pPr>
        <w:spacing w:after="120" w:line="276"/>
        <w:jc w:val="both"/>
      </w:pPr>
      <w:r>
        <w:rPr>
          <w:rFonts w:ascii="Calibri" w:cs="Calibri" w:eastAsia="Calibri" w:hAnsi="Calibri"/>
          <w:sz w:val="21"/>
          <w:szCs w:val="21"/>
        </w:rPr>
        <w:t xml:space="preserve">Cada escenario tiene un propietario único con autoridad real sobre la mayor parte de su cadena: la Dirección General para los organizativos y de terceros, el jefe de seguridad para los de dominante física o convergente, el responsable financiero para los de fraude y disposición, y la representante de la propiedad para los que requieren decisiones de la familia. El propietario responde de la ejecución del tratamiento y de la vigencia de la valoración; la aceptación del residual sigue las reglas de 4.4.</w:t>
      </w:r>
    </w:p>
    <w:p>
      <w:pPr>
        <w:pStyle w:val="Heading1"/>
        <w:spacing w:after="160" w:before="320"/>
      </w:pPr>
      <w:r>
        <w:rPr>
          <w:rFonts w:ascii="Calibri" w:cs="Calibri" w:eastAsia="Calibri" w:hAnsi="Calibri"/>
          <w:b/>
          <w:bCs/>
          <w:color w:val="1F3864"/>
          <w:sz w:val="26"/>
          <w:szCs w:val="26"/>
        </w:rPr>
        <w:t xml:space="preserve">8. Revisión y re-evaluación</w:t>
      </w:r>
    </w:p>
    <w:p>
      <w:pPr>
        <w:spacing w:after="120" w:line="276"/>
        <w:jc w:val="both"/>
      </w:pPr>
      <w:r>
        <w:rPr>
          <w:rFonts w:ascii="Calibri" w:cs="Calibri" w:eastAsia="Calibri" w:hAnsi="Calibri"/>
          <w:sz w:val="21"/>
          <w:szCs w:val="21"/>
        </w:rPr>
        <w:t xml:space="preserve">El catálogo completo se re-evalúa al menos una vez al año. Además, se re-evalúan los escenarios afectados ante: un incidente o cuasi-incidente; un cambio en la composición, exposición o rutinas de la familia; el alta, baja o cambio significativo de un tercero con acceso; y cambios en la estructura patrimonial o en las ubicaciones. La aparición de una nueva interfaz obliga a crear sus escenarios antes de que la interfaz entre en operación, no después.</w:t>
      </w:r>
    </w:p>
    <w:p>
      <w:pPr>
        <w:pStyle w:val="Heading1"/>
        <w:spacing w:after="160" w:before="320"/>
      </w:pPr>
      <w:r>
        <w:rPr>
          <w:rFonts w:ascii="Calibri" w:cs="Calibri" w:eastAsia="Calibri" w:hAnsi="Calibri"/>
          <w:b/>
          <w:bCs/>
          <w:color w:val="1F3864"/>
          <w:sz w:val="26"/>
          <w:szCs w:val="26"/>
        </w:rPr>
        <w:t xml:space="preserve">9. Planificación y control operacional (cláusula 8.1)</w:t>
      </w:r>
    </w:p>
    <w:p>
      <w:pPr>
        <w:spacing w:after="120" w:line="276"/>
        <w:jc w:val="both"/>
      </w:pPr>
      <w:r>
        <w:rPr>
          <w:rFonts w:ascii="Calibri" w:cs="Calibri" w:eastAsia="Calibri" w:hAnsi="Calibri"/>
          <w:sz w:val="21"/>
          <w:szCs w:val="21"/>
        </w:rPr>
        <w:t xml:space="preserve">Los procesos necesarios para cumplir los requisitos de seguridad de la información son los del plan de tratamiento (SGSI-REG-002) y los procedimientos operativos SGSI-DOC-006 a SGSI-DOC-009, cuyos criterios de ejecución están establecidos en esos mismos documentos y cuya ejecución deja la evidencia registrada que exige la definición de cobertura efectiva de la sección 6. Los cambios planificados del sistema se controlan conforme a SGSI-DOC-001 §8, con evaluación previa de su efecto sobre los escenarios; las consecuencias de los cambios no previstos se revisan en la revisión por la dirección y obligan a re-evaluar los escenarios afectados según la sección 8. Los procesos y servicios prestados externamente —el proveedor de servicios gestionados, la seguridad física, el personal doméstico y las agencias— se controlan mediante SGSI-DOC-006, que es el instrumento con el que esta organización cumple la exigencia de asegurar el control de lo provisto por terceros. Se declara expresamente porque una metodología que define cómo se decide el tratamiento y no dice cómo se opera deja sin cubrir la mitad del capítulo 8.</w:t>
      </w:r>
    </w:p>
    <w:p>
      <w:pPr>
        <w:pStyle w:val="Heading1"/>
        <w:spacing w:after="160" w:before="320"/>
      </w:pPr>
      <w:r>
        <w:rPr>
          <w:rFonts w:ascii="Calibri" w:cs="Calibri" w:eastAsia="Calibri" w:hAnsi="Calibri"/>
          <w:b/>
          <w:bCs/>
          <w:color w:val="1F3864"/>
          <w:sz w:val="26"/>
          <w:szCs w:val="26"/>
        </w:rPr>
        <w:t xml:space="preserve">Anexo A. Trazabilidad con ISO/IEC 27001:2022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Sección de este documento</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Cláusula ISO/IEC 27001:2022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4 — Criterios de riesgo y aceptación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6.1.2 a) 1) y 2); 6.1.2 b)</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5 — Proceso de evaluación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6.1.2 c), d), e); 8.2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 — Tratamiento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6.1.3; 8.3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7 — Propietarios del riesgo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6.1.2 c) 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8 — Revisión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8.2 (intervalos planificados y cambios significativos)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9 — Planificación y control operacional</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8.1</w:t>
            </w:r>
          </w:p>
        </w:tc>
      </w:tr>
    </w:tbl>
    <w:p>
      <w:pPr>
        <w:pStyle w:val="Heading1"/>
        <w:spacing w:after="160" w:before="320"/>
      </w:pPr>
      <w:r>
        <w:rPr>
          <w:rFonts w:ascii="Calibri" w:cs="Calibri" w:eastAsia="Calibri" w:hAnsi="Calibri"/>
          <w:b/>
          <w:bCs/>
          <w:color w:val="1F3864"/>
          <w:sz w:val="26"/>
          <w:szCs w:val="26"/>
        </w:rPr>
        <w:t xml:space="preserve">Anexo B. Escenario resuelto de ejemplo (RSC-001)</w:t>
      </w:r>
    </w:p>
    <w:p>
      <w:pPr>
        <w:spacing w:after="120" w:line="276"/>
        <w:jc w:val="both"/>
      </w:pPr>
      <w:r>
        <w:rPr>
          <w:rFonts w:ascii="Calibri" w:cs="Calibri" w:eastAsia="Calibri" w:hAnsi="Calibri"/>
          <w:sz w:val="21"/>
          <w:szCs w:val="21"/>
        </w:rPr>
        <w:t xml:space="preserve">Aplicación completa de la metodología al escenario que originó el SGSI, ya materializado parcialmente como cuasi-incidente.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Campo</w:t>
            </w:r>
          </w:p>
        </w:tc>
        <w:tc>
          <w:tcPr>
            <w:tcW w:type="dxa" w:w="73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jc w:val="left"/>
            </w:pPr>
            <w:r>
              <w:rPr>
                <w:rFonts w:ascii="Calibri" w:cs="Calibri" w:eastAsia="Calibri" w:hAnsi="Calibri"/>
                <w:b/>
                <w:bCs/>
                <w:sz w:val="19"/>
                <w:szCs w:val="19"/>
              </w:rPr>
              <w:t xml:space="preserve">Contenido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Código y título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RSC-001 — Captación de un miembro joven de la familia para obtención de inteligencia previa a una acción hostil</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Narrativa de la cadena</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(1) Un antiguo promotor deportivo del principal, con una discrepancia económica no resuelta desde la etapa de competición, decide reunir información para forzar una negociación en posición de ventaja. No actúa personalmente en ningún momento. (2) Encarga la obtención a un individuo del entorno local, conocido en la zona por su reputación y por su relación con el promotor. (3) El individuo se hace visible en el entorno frecuentado por el hijo mayor; es el propio hijo mayor quien busca el contacto, atraído por un perfil que idealiza. (4) Extracción gradual de información en encuentros presenciales y por mensajería: rutinas, viajes, funcionamiento de la seguridad, vehículos. (5) Vigilancia de confirmación sobre la finca. (6) Ejecución prevista: aproximación coactiva al principal, con riesgo de derivar en acción sobre la residencia o las personas.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Interfaces implicadas</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Familia (acceso de terceros no verificados al entorno del hijo mayor); Entorno social (relación no contractual con el entorno del hijo mayor, sin verificación ni norma de aviso); Físico↔Digital (la relación presencial y el rastro digital se alimentan mutuamente).</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Componentes digitales / físicos</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Digitales: perfiles públicos del hijo mayor, mensajería directa, fotografías publicadas que sitúan personas, vehículos y lugares. Físicos: presencia del individuo en el entorno del hijo mayor, vehículo empleado, estacionamientos de observación en el perímetro de la finca, rutinas de accesos y desplazamientos.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Controles existentes (situación inicial)</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Vigilancia física de la residencia, que detectó en el eslabón 5. Ninguno en los eslabones 3 y 4; los eslabones 1 y 2 —encargo y delegación— son inalcanzables para la organización, lo que es una conclusión del análisis y no una carencia del tratamiento. La detección se produjo por conocimiento local no sistematizado: un miembro del servicio de seguridad reconoció el vehículo estacionado en un punto y una hora anómalos, y posteriormente identificó ese mismo vehículo en fotografías publicadas por el hijo mayor. La cadena se rompió por una capacidad individual no repetible ni auditable —dependía de que esa persona estuviera de servicio, recordara el vehículo y relacionara ambos hechos—, no por un proceso. Es el argumento fundacional del SGSI: el control funcionó una vez y por azar.</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Impacto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Personas: 4 (la cadena termina en acción contra personas). Patrimonio: 3. Privacidad/reputación: 3. Legal: 2. Impacto del escenario (regla del máximo): 4.</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Probabilidad</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4 — Muy probable. Se acumulan todas las condiciones de exposición: información de rutinas disponible en abierto, acceso social al hijo mayor sin verificación ni norma de aviso, persona con motivo identificable en el entorno inmediato, y notoriedad pública del principal. Concurre además la señal observada que exige el nivel 4 (§4.2): el escenario ya se materializó parcialmente en la organización, con los eslabones 1 a 5 completados —los dos primeros por el instigador y los tres siguientes por el intermediario—.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Nivel de riesgo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Crítico (16). No aceptable como residual: tratamiento inmediato.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Dirección del tratamiento (desarrollo en el plan)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Eslabón 3 (digital y organizativo): configuración de privacidad de las cuentas del hijo mayor y acuerdo familiar de exposición pública, gestionados por la representante de la propiedad, que encarecen la aproximación. Eslabón 3 (organizativo): canal de comunicación de contactos sospechosos sin reproche, y norma de aviso previo de terceros introducidos por los hijos (compartida con RSC-021). Eslabón 5 (físico): registro nominal de vehículos y personas observadas en el entorno de la finca. Eslabón 5 (organizativo): cuaderno de indicios con revisión semanal conjunta de observaciones físicas y digitales, que convierte en proceso lo que en el cuasi-incidente fue una correlación fortuita. El tratamiento diseñado prevé cobertura en el dominio físico (C-004) y en el digital (C-005), sobre los eslabones 3 y 5; que esa cobertura sea además efectiva depende de la implantación y de la verificación en plazo de cada control (§6), que a fecha de corte no se han producido.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jc w:val="left"/>
            </w:pPr>
            <w:r>
              <w:rPr>
                <w:rFonts w:ascii="Calibri" w:cs="Calibri" w:eastAsia="Calibri" w:hAnsi="Calibri"/>
                <w:b w:val="false"/>
                <w:bCs w:val="false"/>
                <w:sz w:val="19"/>
                <w:szCs w:val="19"/>
              </w:rPr>
              <w:t xml:space="preserve">Propietario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
              <w:rPr>
                <w:rFonts w:ascii="Calibri" w:hAnsi="Calibri"/>
                <w:sz w:val="19"/>
                <w:szCs w:val="19"/>
              </w:rPr>
              <w:t>Jefe de seguridad (cadena de dominante convergente), con la representante de la propiedad como corresponsable de los controles del ámbito familiar.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 xml:space="preserve">Clasificación: Interna</w:t>
    </w:r>
    <w:r>
      <w:rPr>
        <w:rFonts w:ascii="Calibri" w:cs="Calibri" w:eastAsia="Calibri" w:hAnsi="Calibri"/>
        <w:color w:val="666666"/>
        <w:sz w:val="16"/>
        <w:szCs w:val="16"/>
      </w:rPr>
      <w:tab/>
      <w:t>SGSI-DOC-004 v1.8</w:t>
    </w:r>
    <w:r>
      <w:rPr>
        <w:rFonts w:ascii="Calibri" w:cs="Calibri" w:eastAsia="Calibri" w:hAnsi="Calibri"/>
        <w:color w:val="666666"/>
        <w:sz w:val="16"/>
        <w:szCs w:val="16"/>
      </w:rPr>
      <w:t xml:space="preserve">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 xml:space="preserve">Atalaya Gestión Patrimonial SL — Sistema de Gestión de Seguridad de la Información</w:t>
    </w:r>
    <w:r>
      <w:rPr>
        <w:rFonts w:ascii="Calibri" w:cs="Calibri" w:eastAsia="Calibri" w:hAnsi="Calibri"/>
        <w:color w:val="666666"/>
        <w:sz w:val="16"/>
        <w:szCs w:val="16"/>
      </w:rPr>
      <w:t xml:space="preserve">	SGSI-DOC-004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_DOC00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2026-07-07T20:26:28.155Z</dcterms:created>
  <dcterms:modified xsi:type="dcterms:W3CDTF">2026-07-07T20:26:28.156Z</dcterms:modified>
</cp:coreProperties>
</file>

<file path=docProps/custom.xml><?xml version="1.0" encoding="utf-8"?>
<Properties xmlns="http://schemas.openxmlformats.org/officeDocument/2006/custom-properties" xmlns:vt="http://schemas.openxmlformats.org/officeDocument/2006/docPropsVTypes"/>
</file>