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Objetivos de Seguridad de la Información — Ciclo 2026-2027</w:t>
      </w:r>
    </w:p>
    <w:p>
      <w:pPr>
        <w:spacing w:after="240"/>
      </w:pPr>
      <w:r>
        <w:rPr>
          <w:rFonts w:ascii="Calibri" w:cs="Calibri" w:eastAsia="Calibri" w:hAnsi="Calibri"/>
          <w:color w:val="666666"/>
          <w:sz w:val="23"/>
          <w:szCs w:val="23"/>
        </w:rPr>
        <w:t xml:space="preserve">ISO/IEC 27001:2022 — Cláusula 6.2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19"/>
        <w:gridCol w:w="2100"/>
        <w:gridCol w:w="2719"/>
      </w:tblGrid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 de documento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SGSI-DOC-005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1.7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Revisión documental — pendiente de aprobación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Propietario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 (externo)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emisión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26/06/2026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aprobación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Pendiente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Aprobado por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Pendiente conforme a DOC-002 §4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Registro de aprobación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Sin acta de aprobación de esta revisión. No acredita implantación ni firma contractual.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Historial de versiones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400"/>
        <w:gridCol w:w="4638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 del cambio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26/06/2026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Objetivos del primer ciclo, derivados de SGSI-REG-001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03/07/2026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del documento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Alta de O8 a O12 y de los indicadores de fricción (§3). Ver decisiones.md §12.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1.1.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Retirada de la narración de versiones del cuerpo (§2); criterio de medición como norma vigente.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1.2.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Ajuste del plazo de O11 para no vencer antes que su plan de soporte (PT-03, SGSI-REG-002).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1.3.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Corrección de plazos de O3 y O5; alta de la regla de completitud de objetivos (§1). Ver decisiones.md §12.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1.4.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Recorte del historial de versiones a una línea por entrada, con referencia a decisiones.md donde procede. Sin cambios de fondo.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1.5.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21/08/2026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Precisión de §1: la frase que prometía recursos por objetivo se ajusta a lo que la sección 2 entrega de verdad (recursos declarados de forma agregada, no por objetivo). Hallazgo de la verificación cruzada de agosto de 2026.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21/08/2026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1.6.</w:t>
            </w:r>
          </w:p>
        </w:tc>
      </w:tr>
      <w:tr>
        <w:trPr/>
        <w:tc>
          <w:tcPr>
            <w:tcW w:type="dxa" w:w="1100"/>
          </w:tcPr>
          <w:p>
            <w:r>
              <w:t>1.7</w:t>
            </w:r>
          </w:p>
        </w:tc>
        <w:tc>
          <w:tcPr>
            <w:tcW w:type="dxa" w:w="1500"/>
          </w:tcPr>
          <w:p>
            <w:r>
              <w:t>20/09/2026</w:t>
            </w:r>
          </w:p>
        </w:tc>
        <w:tc>
          <w:tcPr>
            <w:tcW w:type="dxa" w:w="2400"/>
          </w:tcPr>
          <w:p>
            <w:r>
              <w:t>Autor del caso</w:t>
            </w:r>
          </w:p>
        </w:tc>
        <w:tc>
          <w:tcPr>
            <w:tcW w:type="dxa" w:w="4638"/>
          </w:tcPr>
          <w:p>
            <w:r>
              <w:t>Revisión de coherencia de septiembre. Deltas y verificación en docs/fase1-iso27001/correcciones_2026-09.md. Sin cambios en la fecha de corte.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Objeto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>Establece los objetivos de seguridad de la información del primer ciclo del SGSI (julio 2026 – julio 2027), conforme al marco de la política (SGSI-DOC-003, sección 5). Cada objetivo deriva de riesgos concretos del registro (SGSI-REG-001), es medible con los medios reales de la organización y tiene responsable y plazo; los recursos se declaran de forma agregada al cierre de la sección 2, no línea a línea, y se detallan en el párrafo «Recursos». Un objetivo que no cierra un riesgo identificado no entra en esta lista, y todo escenario del registro de nivel Alto o Crítico tiene al menos un objetivo asociado. RSC-017 es el único escenario sin objetivo, y es correcto: es de nivel Moderado y su decisión de tratamiento es retener, aceptado con justificación del propietario conforme a SGSI-DOC-004 §4.4. Ningún objetivo vence antes que el plan de tratamiento que lo soporta (SGSI-REG-002).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Objetivos del ciclo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100"/>
        <w:gridCol w:w="1900"/>
        <w:gridCol w:w="20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Objetivo e indicador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Riesgos que trata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Plazo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Regularizar al 100% de terceros y círculo de confianza: contrato o acuerdo con cláusulas de seguridad proporcionadas al acceso real, y revisión de los poderes notariales vigentes. Indicador: nº de personas/entidades con acceso sin acuerdo (meta: 0).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RSC-004, RSC-005, RSC-008, RSC-011, RSC-020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Dirección General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meses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Canal cifrado con los asesores de Dublín y España operativo y en uso. Indicador: % de intercambios de información Restringida/Confidencial por el canal seguro (meta: ≥95%).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RSC-006, RSC-007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Responsable financiero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meses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Verificación conforme a DOC-007 de todas las órdenes sujetas a R1, de los cambios de beneficiario sin umbral y de todas las órdenes del principal sujetas al circuito reforzado, cualquiera que sea su importe. Indicador: órdenes ejecutadas sin las verificaciones exigibles registradas (meta: 0).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RSC-006, RSC-010, RSC-014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Responsable financiero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meses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Reducir la exposición pública de información de rutinas de la familia. Indicador: nº de datos de rutina identificables en fuentes abiertas sobre la línea base del informe OSINT inicial (meta: reducción ≥70%) y publicación diferida acordada con la familia.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RSC-001, RSC-002, RSC-015, RSC-021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Representante de la propiedad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meses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Formación y concienciación completada por el 100% de las personas con vínculo estable —los siete empleados, los dos escolta/conductor externos y las dos del círculo de confianza— y, con contenido proporcionado a su acceso, por el personal doméstico, el proveedor informático y la persona designada de la agencia de comunicación; sesión familiar impartida. Indicador: nº de personas con formación asignada y no completada en plazo (meta: 0).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RSC-001, RSC-004, RSC-011, RSC-016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Dirección General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meses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Protocolo de correlación físico-digital operativo: registro común de indicios, revisión semanal y un ejercicio de simulación realizado con lecciones documentadas. Indicador: % de semanas del trimestre con revisión de correlación documentada en SGSI-REG-004, hoja «Correlaciones» (meta: ≥90%), incluidas las semanas sin patrón.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RSC-001, RSC-009, RSC-011, RSC-018, RSC-021, RSC-025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Jefe de seguridad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meses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Infraestructura de la residencia segmentada: red de familia, de empleados/invitados y de sistemas de seguridad (CCTV/domótica) separadas; acceso administrativo del MSP con doble factor y registro de sesiones. Indicador: verificación técnica independiente superada.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RSC-008, RSC-009, RSC-013, RSC-024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Jefe de seguridad (con MSP)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meses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Ejecución verificable de los controles físicos de la residencia: los controles contratados dejan evidencia registrada de cada ejecución. Indicador principal: % de jornadas con lista de verificación de cierre firmada y armado del sistema registrado (meta: ≥95%). Indicador secundario: nº de rondas previstas sin registro de puntos de paso (meta: 0). Este objetivo mide ejecución sostenida, no implantación: a los dos meses se verifica el arranque y la evidencia generada; la primera evaluación sostenida se realiza tras un trimestre completo de ejecución y, después, sobre el último trimestre.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RSC-018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Jefe de seguridad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meses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del acceso de terceros no permanentes a la residencia. Indicador A: % de intervenciones de contratas con planificación y relación nominal previas (meta: 100%). Indicador B: proporción de visitas no contractuales registradas sobre las detectadas por el servicio de seguridad (meta: ≥80%). El indicador B mide un control que descansa en el cumplimiento voluntario de la familia; una meta del 100% sería falsa y su incumplimiento se trata como señal de fricción del diseño, no como incumplimiento de una persona.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RSC-020, RSC-021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Jefe de seguridad (con repr. de la propiedad)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meses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O10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Trazabilidad de las disposiciones en efectivo y valores. Indicador A: % de movimientos sujetos a E1 con doble validación previa (meta: 100%). Indicador B: % de todos los movimientos con conciliación en 24 h conforme a E3 (meta: 100%). Indicador de fricción: nº de usos de la vía de urgencia del procedimiento (DOC-007 §5) y de órdenes detenidas por el freno de emergencia (R5) por trimestre. Este segundo indicador no tiene meta de reducción: un valor alto sostenido indica que el procedimiento no encaja con la operativa real y obliga a rediseñarlo, no a exigir más disciplina.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RSC-019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Responsable financiero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meses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O11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Protección de la información en dispositivos y desplazamientos. Indicador A: % de dispositivos que salen del perímetro con cifrado y borrado remoto verificados antes de la salida (meta: 100%). Indicador B: % de desplazamientos del principal o la familia con ficha de destino elaborada antes de formalizar reservas (meta: 100%; ficha completa en destinos de riesgo y evaluación simplificada en los demás, conforme a DOC-008). Indicador C: nº de dispositivos personales de la familia con configuración de seguridad revisada (meta: todos los de los menores en el ciclo).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RSC-003, RSC-012, RSC-022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Jefe de seguridad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meses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O12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la documentación patrimonial en soporte papel. Indicador A: % de series documentales inventariadas con ubicación, responsable y plazo de conservación asignados (meta: 100%). Indicador B: nº de documentos clasificados Confidencial o Restringido localizados fuera de custodia en las comprobaciones trimestrales (meta: 0). La comprobación la realiza una persona distinta del responsable de la custodia.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  <w:szCs w:val="19"/>
              </w:rPr>
              <w:t>RSC-023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Dirección General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meses</w:t>
            </w:r>
          </w:p>
        </w:tc>
      </w:tr>
    </w:tbl>
    <w:p>
      <w:pPr>
        <w:spacing w:after="120" w:line="276"/>
        <w:jc w:val="both"/>
      </w:pPr>
      <w:r>
        <w:rPr>
          <w:rFonts w:ascii="Calibri" w:hAnsi="Calibri"/>
          <w:b w:val="0"/>
          <w:sz w:val="20"/>
        </w:rPr>
        <w:t>Criterio de medición. Los objetivos O1 a O7 miden implantación: comprueban que algo se ha puesto en marcha. Los objetivos O8 a O12 miden ejecución sostenida: comprueban que sigue operando meses después. La distinción responde a dos hallazgos del registro de riesgos. El primero es que en esta organización existen controles contratados y operativos cuya inejecución recurrente los deja sin efecto (RSC-018): un indicador de implantación los habría dado por buenos. El segundo es que el patrocinio del sistema procede de la reacción a un cuasi-incidente (SGSI-DOC-001 §9) y decae a medida que el suceso se aleja. Un cuadro de objetivos que solo mide implantación es ciego precisamente al modo en que este SGSI tiene más probabilidad de fracasar.</w:t>
      </w:r>
    </w:p>
    <w:p>
      <w:pPr>
        <w:spacing w:after="120" w:line="276"/>
        <w:jc w:val="both"/>
      </w:pPr>
      <w:r>
        <w:rPr>
          <w:rFonts w:ascii="Calibri" w:hAnsi="Calibri"/>
          <w:b w:val="0"/>
          <w:sz w:val="20"/>
        </w:rPr>
        <w:t>Por la misma razón, dos indicadores de este cuadro miden fricción y no cumplimiento: los usos de la vía de urgencia en O10 y la proporción de visitas registradas en O9. Un indicador de fricción sin meta de reducción informa de si la norma es sostenible; convertirlo en objetivo de cumplimiento solo conseguiría que dejara de registrarse.</w:t>
      </w:r>
    </w:p>
    <w:p>
      <w:pPr>
        <w:spacing w:after="120" w:line="276"/>
        <w:jc w:val="both"/>
      </w:pPr>
      <w:r>
        <w:rPr>
          <w:rFonts w:ascii="Calibri" w:hAnsi="Calibri"/>
          <w:b w:val="0"/>
          <w:sz w:val="20"/>
        </w:rPr>
        <w:t>Recursos. Los objetivos de este ciclo se sostienen con tres partidas, aprobadas por el administrador único conforme a la regla primera de la declaración de compromiso: el tiempo del propio personal, que la Dirección General reserva de forma explícita en la planificación trimestral y no como esfuerzo añadido al puesto; la contratación externa de la verificación técnica independiente (O7), de la auditoría interna del primer semestre de 2027 y del asesoramiento legal para la revisión de poderes (O1); y la inversión en los medios físicos y lógicos que exigen O7 y O8 —segmentación de red, contactos de apertura en aberturas secundarias y supervisión del armado—. Se declaran aquí porque la cláusula 6.2 i) exige determinar qué recursos se requerirán, y un objetivo sin recursos asignados es una intención.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Seguimiento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Comité de Seguridad Convergente revisa el avance de los objetivos trimestralmente con los indicadores definidos. Los objetivos no alcanzados en plazo generan análisis de causa y decisión documentada: replanificación, refuerzo de recursos o revisión del objetivo. Los resultados alimentan la revisión por la dirección y la definición de objetivos del ciclo siguiente.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Anexo A. Trazabilidad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Sección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Cláusula ISO/IEC 27001:2022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— Objetivos, responsables, plazos, indicadores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6.2 a) a 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— Seguimiento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6.2; 9.1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center" w:pos="4819"/>
        <w:tab w:val="right" w:pos="9638"/>
      </w:tabs>
      <w:spacing w:before="60"/>
    </w:pPr>
    <w:r>
      <w:rPr>
        <w:rFonts w:ascii="Calibri" w:cs="Calibri" w:eastAsia="Calibri" w:hAnsi="Calibri"/>
        <w:color w:val="666666"/>
        <w:sz w:val="16"/>
        <w:szCs w:val="16"/>
      </w:rPr>
      <w:t xml:space="preserve">Clasificación: Interna</w:t>
    </w:r>
    <w:r>
      <w:rPr>
        <w:rFonts w:ascii="Calibri" w:cs="Calibri" w:eastAsia="Calibri" w:hAnsi="Calibri"/>
        <w:color w:val="666666"/>
        <w:sz w:val="16"/>
        <w:szCs w:val="16"/>
      </w:rPr>
      <w:tab/>
      <w:t>SGSI-DOC-005 v1.7</w:t>
    </w:r>
    <w:r>
      <w:rPr>
        <w:rFonts w:ascii="Calibri" w:cs="Calibri" w:eastAsia="Calibri" w:hAnsi="Calibri"/>
        <w:color w:val="666666"/>
        <w:sz w:val="16"/>
        <w:szCs w:val="16"/>
      </w:rPr>
      <w:t xml:space="preserve">	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/>
      </w:pBdr>
      <w:tabs>
        <w:tab w:val="right" w:pos="9638"/>
      </w:tabs>
      <w:spacing w:after="60"/>
    </w:pPr>
    <w:r>
      <w:rPr>
        <w:rFonts w:ascii="Calibri" w:cs="Calibri" w:eastAsia="Calibri" w:hAnsi="Calibri"/>
        <w:color w:val="666666"/>
        <w:sz w:val="16"/>
        <w:szCs w:val="16"/>
      </w:rPr>
      <w:t xml:space="preserve">Atalaya Gestión Patrimonial SL — Sistema de Gestión de Seguridad de la Información</w:t>
    </w:r>
    <w:r>
      <w:rPr>
        <w:rFonts w:ascii="Calibri" w:cs="Calibri" w:eastAsia="Calibri" w:hAnsi="Calibri"/>
        <w:color w:val="666666"/>
        <w:sz w:val="16"/>
        <w:szCs w:val="16"/>
      </w:rPr>
      <w:t xml:space="preserve">	SGSI-DOC-005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2026-07-07T20:26:28.466Z</dcterms:created>
  <dcterms:modified xsi:type="dcterms:W3CDTF">2026-07-07T20:26:28.466Z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