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Norma de Seguridad de la Información en Viajes y Desplazamientos</w:t>
      </w:r>
    </w:p>
    <w:p>
      <w:r>
        <w:t>La geolocalización prevista en T3/C-055 se documenta en REG-008 T-07. Antes de su puesta en servicio se concretan finalidad, personas afectadas, acceso, información, conservación y papel del proveedor existente. No se utiliza para seguimiento fuera del servicio ni se presume su habilitación por el contrato del proveedor. La verificación de privacidad pendiente se incorpora a la revisión de DOC-011/012; no se declara implantación.</w:t>
      </w:r>
    </w:p>
    <w:p>
      <w:pPr>
        <w:spacing w:after="240"/>
      </w:pPr>
      <w:r>
        <w:rPr>
          <w:rFonts w:ascii="Calibri" w:cs="Calibri" w:eastAsia="Calibri" w:hAnsi="Calibri"/>
          <w:color w:val="666666"/>
          <w:sz w:val="23"/>
          <w:szCs w:val="23"/>
        </w:rPr>
        <w:t xml:space="preserve">ISO/IEC 27001:2022 — Anexo A 5.7, A 5.10, A 5.12, A 5.14, A 5.37, A 6.7, A 7.9, A 8.1, A 8.24; riesgos RSC-001, RSC-002, RSC-012, RSC-022, RSC-025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SGSI-DOC-008</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1.5</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Jefe de seguridad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16/06/2026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16/06/2026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§6 (evaluación de destino, reglas D1-D5) y §7 (desplazamientos rutinarios, reglas T1-T4).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Retirada de la narración de versiones del cuerpo (§6 y §7); reglas como norma vigente.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la regla T4 (periodicidad semanal) y del mapeo del Anexo A. Ver decisiones.md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c>
          <w:tcPr>
            <w:tcW w:type="dxa" w:w="1100"/>
          </w:tcPr>
          <w:p>
            <w:r>
              <w:t>1.5</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w:t>
      </w:r>
    </w:p>
    <w:p>
      <w:pPr>
        <w:spacing w:after="120" w:line="276"/>
        <w:jc w:val="both"/>
      </w:pPr>
      <w:r>
        <w:rPr>
          <w:rFonts w:ascii="Calibri" w:cs="Calibri" w:eastAsia="Calibri" w:hAnsi="Calibri"/>
          <w:sz w:val="21"/>
          <w:szCs w:val="21"/>
        </w:rPr>
        <w:t xml:space="preserve">Regula el tratamiento de la información asociada a los viajes y desplazamientos del principal, la familia y el personal que los acompaña. Parte de un hecho del contexto: en esta organización, el viaje es el momento de máxima exposición convergente. El itinerario es información Restringida cuya filtración habilita acción física; los dispositivos salen del perímetro protegido; y la familia genera señal pública en tiempo real.</w:t>
      </w:r>
    </w:p>
    <w:p>
      <w:pPr>
        <w:pStyle w:val="Heading1"/>
        <w:spacing w:after="160" w:before="320"/>
      </w:pPr>
      <w:r>
        <w:rPr>
          <w:rFonts w:ascii="Calibri" w:cs="Calibri" w:eastAsia="Calibri" w:hAnsi="Calibri"/>
          <w:b/>
          <w:bCs/>
          <w:color w:val="1F3864"/>
          <w:sz w:val="26"/>
          <w:szCs w:val="26"/>
        </w:rPr>
        <w:t xml:space="preserve">2. La información de viaje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6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V1 — Clasificación</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Itinerarios, fechas, alojamientos, vuelos, matrículas y composición del grupo de viaje son información Restringida desde su planificación (SGSI-DOC-002, sección 5). Solo la conocen quienes intervienen en el viaje, cada uno en la parte que le toca ejecutar.</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V2 — Necesidad de conocer por tramos</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Los proveedores del viaje (agencias, transporte, alojamiento) reciben solo su tramo: el hotel no conoce el vuelo, el transporte local no conoce el alojamiento siguiente. La visión completa del itinerario la tienen únicamente el jefe de seguridad, la asistente personal y la Dirección General.</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V3 — Canales</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información de viaje circula solo por los canales corporativos cifrados. Prohibida en mensajería personal, incluido el WhatsApp familiar: el itinerario que se comparte con la familia se entrega por el canal que defina el jefe de seguridad, con la anticipación mínima operativa.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V4 — Reserva de identidad</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Cuando el proveedor lo permita, las reservas se efectúan a nombre de la sociedad o de personal de Atalaya, no del principal ni de la familia.</w:t>
            </w:r>
          </w:p>
        </w:tc>
      </w:tr>
    </w:tbl>
    <w:p>
      <w:pPr>
        <w:pStyle w:val="Heading1"/>
        <w:spacing w:after="160" w:before="320"/>
      </w:pPr>
      <w:r>
        <w:rPr>
          <w:rFonts w:ascii="Calibri" w:cs="Calibri" w:eastAsia="Calibri" w:hAnsi="Calibri"/>
          <w:b/>
          <w:bCs/>
          <w:color w:val="1F3864"/>
          <w:sz w:val="26"/>
          <w:szCs w:val="26"/>
        </w:rPr>
        <w:t xml:space="preserve">3. Publicación y señal pública</w:t>
      </w:r>
    </w:p>
    <w:p>
      <w:pPr>
        <w:spacing w:after="120" w:line="276"/>
        <w:jc w:val="both"/>
      </w:pPr>
      <w:r>
        <w:rPr>
          <w:rFonts w:ascii="Calibri" w:cs="Calibri" w:eastAsia="Calibri" w:hAnsi="Calibri"/>
          <w:sz w:val="21"/>
          <w:szCs w:val="21"/>
        </w:rPr>
        <w:t xml:space="preserve">La regla operativa acordada con la familia a través de la representante de la propiedad (SGSI-DOC-003, roles) es la publicación diferida: ningún contenido en redes que revele ubicación se publica hasta haber abandonado esa ubicación. La agencia de comunicación aplica la misma regla a las cuentas que gestiona, incorporada a su contrato (DOC-006). Esta regla es la contribución directa de esta norma al tratamiento de RSC-001 y RSC-002: rompe el eslabón de obtención de información en tiempo real.</w:t>
      </w:r>
    </w:p>
    <w:p>
      <w:pPr>
        <w:spacing w:after="120" w:line="276"/>
        <w:jc w:val="both"/>
      </w:pPr>
      <w:r>
        <w:rPr>
          <w:rFonts w:ascii="Calibri" w:cs="Calibri" w:eastAsia="Calibri" w:hAnsi="Calibri"/>
          <w:sz w:val="21"/>
          <w:szCs w:val="21"/>
        </w:rPr>
        <w:t xml:space="preserve">La norma no prohíbe publicar: negocia el cuándo. La experiencia del cuasi-incidente fundacional demuestra que la prohibición total dirigida a un adolescente es el camino más corto a su incumplimiento sistemático; el diferimiento preserva su actividad y elimina el valor operativo de la señal para un observador hostil.</w:t>
      </w:r>
    </w:p>
    <w:p>
      <w:pPr>
        <w:pStyle w:val="Heading1"/>
        <w:spacing w:after="160" w:before="320"/>
      </w:pPr>
      <w:r>
        <w:rPr>
          <w:rFonts w:ascii="Calibri" w:cs="Calibri" w:eastAsia="Calibri" w:hAnsi="Calibri"/>
          <w:b/>
          <w:bCs/>
          <w:color w:val="1F3864"/>
          <w:sz w:val="26"/>
          <w:szCs w:val="26"/>
        </w:rPr>
        <w:t xml:space="preserve">4. Dispositivos en viaje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6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V5 — Dotación de viaje</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En desplazamientos a destinos evaluados como de riesgo por el jefe de seguridad, el personal viaja con dispositivos de dotación específica: limpios, cifrados, con lo mínimo necesario para el viaje. Los dispositivos habituales no salen.</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V6 — Cifrado y bloqueo</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dispositivo que viaje va cifrado, con bloqueo automático y capacidad de borrado remoto verificada antes de la salida (responsabilidad del MSP, verificación del jefe de seguridad).</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V7 — Redes</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Prohibido el uso de WiFi públicas o del alojamiento para información Confidencial o Restringida: conexión por datos móviles o por el acceso remoto cifrado corporativo.</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V8 — Pérdida o robo</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pérdida o robo de un dispositivo en viaje es incidente de seguridad con notificación inmediata (DOC-009), no un contratiempo logístico: se activa el borrado remoto y se evalúa qué información contenía y qué habilita.</w:t>
            </w:r>
          </w:p>
        </w:tc>
      </w:tr>
    </w:tbl>
    <w:p>
      <w:pPr>
        <w:pStyle w:val="Heading1"/>
        <w:spacing w:after="160" w:before="320"/>
      </w:pPr>
      <w:r>
        <w:rPr>
          <w:rFonts w:ascii="Calibri" w:cs="Calibri" w:eastAsia="Calibri" w:hAnsi="Calibri"/>
          <w:b/>
          <w:bCs/>
          <w:color w:val="1F3864"/>
          <w:sz w:val="26"/>
          <w:szCs w:val="26"/>
        </w:rPr>
        <w:t xml:space="preserve">5. Coordinación físico-digital del viaje</w:t>
      </w:r>
    </w:p>
    <w:p>
      <w:pPr>
        <w:spacing w:after="120" w:line="276"/>
        <w:jc w:val="both"/>
      </w:pPr>
      <w:r>
        <w:rPr>
          <w:rFonts w:ascii="Calibri" w:cs="Calibri" w:eastAsia="Calibri" w:hAnsi="Calibri"/>
          <w:sz w:val="21"/>
          <w:szCs w:val="21"/>
        </w:rPr>
        <w:t xml:space="preserve">Antes de cada viaje del principal o de la familia, el jefe de seguridad realiza una revisión breve y documentada que integra ambos dominios: qué se ha publicado ya que afecte al viaje, qué proveedores conocen qué tramos, y qué dispositivos viajan. Tras el viaje, revisión simétrica: qué señal pública generó el desplazamiento y si hubo aproximaciones o contactos anómalos, que alimentan el registro de indicios del protocolo de correlación (DOC-009, sección 5).</w:t>
      </w:r>
    </w:p>
    <w:p>
      <w:pPr>
        <w:pStyle w:val="Heading1"/>
        <w:spacing w:after="160" w:before="320"/>
      </w:pPr>
      <w:r>
        <w:rPr>
          <w:rFonts w:ascii="Calibri" w:hAnsi="Calibri"/>
          <w:b/>
          <w:sz w:val="26"/>
        </w:rPr>
        <w:t>6. Evaluación de seguridad del destino</w:t>
      </w:r>
    </w:p>
    <w:p>
      <w:pPr>
        <w:spacing w:after="60" w:before="200"/>
      </w:pPr>
      <w:r>
        <w:rPr>
          <w:rFonts w:ascii="Calibri" w:hAnsi="Calibri"/>
          <w:b w:val="0"/>
          <w:sz w:val="20"/>
        </w:rPr>
        <w:t>La regla V5 remite a «destinos evaluados como de riesgo por el jefe de seguridad», y esa evaluación tiene un momento obligado: antes de la reserva. La práctica que motiva esta sección es la inversa —el viaje se decide y se reserva primero y la seguridad se improvisa en destino (RSC-022)—, con lo que V5 no llega a activarse nunca: cuando el jefe de seguridad conocía el viaje, el alojamiento ya estaba contratado y el itinerario difundido entre proveedores. Una evaluación posterior a la reserva no es una evaluación, es un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D1 — Evaluación antes de la reserva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desplazamiento del principal o de la familia genera una ficha de destino elaborada por el jefe de seguridad antes de formalizar reservas. La ficha valora: entorno del alojamiento y control de accesos, exposición pública prevista del desplazamiento, servicios sanitarios y de emergencia, contactos locales de confianza, y riesgos específicos del destino y de la fecha. La ficha condiciona la reserva, no la acompaña.</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D2 — Clasificación del destino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Cada destino se clasifica en ordinario o de riesgo. La clasificación de riesgo activa V5 (dotación de viaje específica), refuerza V2 y puede exigir reconocimiento previo o contratación de servicio local. La clasificación la determina el jefe de seguridad y se documenta con su motivo.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D3 — Reconocimiento previo o enlace local</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En destinos clasificados de riesgo, y siempre que la duración o la exposición lo justifiquen, se realiza reconocimiento previo del alojamiento y de los itinerarios habituales, o se establece contacto con un servicio local verificado conforme a SGSI-DOC-006. Un servicio local no verificado no recibe información de itinerario.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D4 — Difusión cerrada del itinerario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lista de destinatarios del itinerario se cierra antes de la salida y se registra. Toda incorporación posterior requiere autorización del jefe de seguridad. Se prohíbe expresamente la publicación anticipada del desplazamiento, incluso en círculos privados: la regla de publicación diferida de la sección 3 opera también sobre viajes no iniciados.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D5 — Proporcionalidad</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Un desplazamiento ordinario y previsible no genera ficha completa: basta el registro del destino y la comprobación de V1 a V7. La ficha completa se reserva a destinos de riesgo, viajes largos o desplazamientos con exposición pública prevista. La norma que se aplica a todo acaba no aplicándose a nada.</w:t>
            </w:r>
          </w:p>
        </w:tc>
      </w:tr>
    </w:tbl>
    <w:p>
      <w:pPr>
        <w:pStyle w:val="Heading1"/>
        <w:spacing w:after="160" w:before="320"/>
      </w:pPr>
      <w:r>
        <w:rPr>
          <w:rFonts w:ascii="Calibri" w:hAnsi="Calibri"/>
          <w:b/>
          <w:sz w:val="26"/>
        </w:rPr>
        <w:t>7. Desplazamientos rutinarios y puntos de espera</w:t>
      </w:r>
    </w:p>
    <w:p>
      <w:pPr>
        <w:spacing w:after="60" w:before="200"/>
      </w:pPr>
      <w:r>
        <w:rPr>
          <w:rFonts w:ascii="Calibri" w:hAnsi="Calibri"/>
          <w:b w:val="0"/>
          <w:sz w:val="20"/>
        </w:rPr>
        <w:t>La exposición más frecuente y menos vigilada no está en el viaje, sino en el trayecto diario: los desplazamientos habituales de la familia con el servicio de conducción. El retraso recurrente del vehículo deja a las personas esperando en un punto fijo, previsible y sin cobertura durante períodos prolongados (RSC-025). No hay actor hostil en el origen de este escenario: hay un fallo de coordinación que construye, por repetición, la ventana que un actor necesitaría.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T1 — Confirmación previa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conductor confirma posición y disponibilidad quince minutos antes de cada recogida prevista. La ausencia de confirmación activa el aviso a la persona a recoger antes de que salga, no después de que esté esperando.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T2 — Puntos de espera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Las recogidas se producen en puntos de espera predefinidos, cubiertos y con salida alternativa, evitando la vía abierta. Los puntos se alternan cuando el desplazamiento es recurrente. Ningún miembro de la familia espera en el exterior por defecto: la espera se produce dentro, y el aviso de llegada la desencadena.</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T3 — Supervisión de la desviación</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seguimiento de posición del vehículo genera aviso automático cuando la desviación sobre el horario previsto supera el umbral fijado por el jefe de seguridad. El aviso es al servicio de seguridad, no solo a la persona que espera.</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T4 — El retraso es un indicio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Un retraso reiterado sin causa acreditada se anota en el cuaderno de indicios (SGSI-DOC-009) y se trata en la revisión semanal de correlación, que es la periodicidad única del cuaderno (SGSI-DOC-009 §5). No se gestiona únicamente como cuestión de puntualidad laboral: la previsibilidad que genera es un riesgo de seguridad de las personas.</w:t>
            </w:r>
          </w:p>
        </w:tc>
      </w:tr>
    </w:tbl>
    <w:p>
      <w:pPr>
        <w:spacing w:after="60" w:before="200"/>
      </w:pPr>
      <w:r>
        <w:rPr>
          <w:rFonts w:ascii="Calibri" w:hAnsi="Calibri"/>
          <w:b w:val="0"/>
          <w:sz w:val="20"/>
        </w:rPr>
        <w:t>Los tres primeros controles cubren los dominios organizativo (T1), físico (T2) y digital (T3), conforme prevé el tratamiento diseñado para satisfacer la regla de convergencia de SGSI-DOC-004 §6 en un escenario de nivel Crítico; que esa cobertura sea además efectiva depende de su implantación y de su verificación en plazo. El Anexo A de la norma no contiene control específico para la seguridad de un desplazamiento en destino ni para la supervisión de la posición de un vehículo: la traza de C-030 y C-054 a 7.1, la de C-055 a 8.16 y la de C-029 a 6.7 se declaran como adaptación en SGSI-REG-003.</w:t>
      </w:r>
    </w:p>
    <w:p>
      <w:pPr>
        <w:pStyle w:val="Heading1"/>
        <w:spacing w:after="160" w:before="32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Control ISO/IEC 27001:2022 (Anexo 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 — Información de viaje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5.10, 5.12, 5.14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Publicación diferida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5.10 (uso aceptable), 6.7 (adaptado)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Dispositivos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7.9, 8.1, 8.24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Coordinación físico-digital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5.7, 7.9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Evaluación de destino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5.7, 6.7, 7.1, 7.4, 5.12 (RSC-022)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 — Desplazamientos rutinarios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5.37, 7.1, 7.2, 8.16 (RSC-025)</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Interna</w:t>
    </w:r>
    <w:r>
      <w:rPr>
        <w:rFonts w:ascii="Calibri" w:cs="Calibri" w:eastAsia="Calibri" w:hAnsi="Calibri"/>
        <w:color w:val="666666"/>
        <w:sz w:val="16"/>
        <w:szCs w:val="16"/>
      </w:rPr>
      <w:tab/>
      <w:t>SGSI-DOC-008 v1.5</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2026-07-07T20:26:29.007Z</dcterms:created>
  <dcterms:modified xsi:type="dcterms:W3CDTF">2026-07-07T20:26:29.008Z</dcterms:modified>
</cp:coreProperties>
</file>

<file path=docProps/custom.xml><?xml version="1.0" encoding="utf-8"?>
<Properties xmlns="http://schemas.openxmlformats.org/officeDocument/2006/custom-properties" xmlns:vt="http://schemas.openxmlformats.org/officeDocument/2006/docPropsVTypes"/>
</file>