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3864"/>
          <w:sz w:val="40"/>
          <w:szCs w:val="40"/>
        </w:rPr>
        <w:t xml:space="preserve">Juicio de Ponderación del Interés Legítimo (art. 6.1.f RGPD)</w:t>
      </w:r>
    </w:p>
    <w:p>
      <w:pPr>
        <w:spacing w:after="120" w:line="260"/>
      </w:pPr>
      <w:r>
        <w:rPr>
          <w:rFonts w:ascii="Calibri" w:cs="Calibri" w:eastAsia="Calibri" w:hAnsi="Calibri"/>
          <w:i/>
          <w:iCs/>
          <w:color w:val="666666"/>
          <w:sz w:val="20"/>
          <w:szCs w:val="20"/>
        </w:rPr>
        <w:t xml:space="preserve">RGPD art. 6.1.f y Considerando 47; Dictamen 06/2014 del Grupo de Trabajo del Artículo 29 sobre el concepto de interés legítimo</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SGSI-DOC-011</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1.1</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Confidencial</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20/08/2026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200"/>
      </w:pPr>
    </w:p>
    <w:p>
      <w:pPr>
        <w:spacing w:after="100" w:line="2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c>
          <w:tcPr>
            <w:tcW w:type="dxa" w:w="1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Descripción del cambio</w:t>
            </w:r>
          </w:p>
        </w:tc>
      </w:tr>
      <w:tr>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Emisión inicial. Cierra el gap de RGPD identificado en SGSI-REG-005 (L-01: EIPD/ponderación previa a monitorización sistemática) y en SGSI-REG-008 (RAT), tratamientos T-01, T-02, T-03 y T-04.</w:t>
            </w:r>
          </w:p>
        </w:tc>
      </w:tr>
      <w:tr>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val="false"/>
                <w:bCs w:val="false"/>
                <w:sz w:val="19"/>
                <w:szCs w:val="19"/>
              </w:rPr>
              <w:t xml:space="preserve">Aprobación del documento.</w:t>
            </w:r>
          </w:p>
        </w:tc>
      </w:tr>
      <w:tr>
        <w:trPr/>
        <w:tc>
          <w:tcPr>
            <w:tcW w:type="dxa" w:w="1100"/>
          </w:tcPr>
          <w:p>
            <w:r>
              <w:t>1.1</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spacing w:after="140" w:before="260"/>
      </w:pPr>
      <w:r>
        <w:rPr>
          <w:rFonts w:ascii="Calibri" w:cs="Calibri" w:eastAsia="Calibri" w:hAnsi="Calibri"/>
          <w:b/>
          <w:bCs/>
          <w:color w:val="1F3864"/>
          <w:sz w:val="26"/>
          <w:szCs w:val="26"/>
        </w:rPr>
        <w:t xml:space="preserve">1. Objeto y metodología</w:t>
      </w:r>
    </w:p>
    <w:p>
      <w:pPr>
        <w:spacing w:after="120" w:line="260"/>
      </w:pPr>
      <w:r>
        <w:rPr>
          <w:rFonts w:ascii="Calibri" w:cs="Calibri" w:eastAsia="Calibri" w:hAnsi="Calibri"/>
          <w:sz w:val="19"/>
          <w:szCs w:val="19"/>
        </w:rPr>
        <w:t>Este documento recoge la evaluación de necesidad y proporcionalidad de T-01 y la ponderación del interés legítimo de T-02, T-03 y T-04. Para T-01 se documenta el marco español de seguridad del art. 6.1.e RGPD y art. 22 LOPDGDD; su análisis no convierte el interés legítimo en base universal. Los restantes tratamientos requieren justificación propia por finalidad e interesado. Un contrato con el proveedor no sustituye esa justificación ni permite omitir una ponderación exigible. T-07 y las finalidades complementarias de T-05 a T-10 quedan sujetos a las precisiones de REG-008 y a validación antes de la operación.</w:t>
      </w:r>
    </w:p>
    <w:p>
      <w:pPr>
        <w:spacing w:after="120" w:line="260"/>
      </w:pPr>
      <w:r>
        <w:rPr>
          <w:rFonts w:ascii="Calibri" w:cs="Calibri" w:eastAsia="Calibri" w:hAnsi="Calibri"/>
          <w:sz w:val="19"/>
          <w:szCs w:val="19"/>
        </w:rPr>
        <w:t xml:space="preserve">El test tiene tres pasos, y los tres deben superarse — no basta con identificar un interés legítimo si el tratamiento no es necesario para conseguirlo, ni basta con que sea necesario si la ponderación frente a los derechos del interesado es desfavorable: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Test de finalidad</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¿Persigue Atalaya un interés real, concreto y lícito con este tratamiento? No basta un interés genérico («por si acaso»): debe poder articularse en una frase y sostenerse con un hecho.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Test de necesidad</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¿Es este tratamiento necesario para conseguir ese interés, o existe una alternativa razonable menos intrusiva para el interesado que consigue el mismo resultado?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b/>
                <w:bCs/>
                <w:sz w:val="19"/>
                <w:szCs w:val="19"/>
              </w:rPr>
              <w:t xml:space="preserve">Test de ponderación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60"/>
            </w:pPr>
            <w:r>
              <w:rPr>
                <w:rFonts w:ascii="Calibri" w:cs="Calibri" w:eastAsia="Calibri" w:hAnsi="Calibri"/>
                <w:sz w:val="19"/>
                <w:szCs w:val="19"/>
              </w:rPr>
              <w:t xml:space="preserve">¿Prevalece el interés de Atalaya sobre los intereses, derechos y libertades del interesado, considerando la naturaleza del dato, las expectativas razonables de la persona, el impacto sobre ella y las salvaguardas aplicadas? La presencia de menores exige, conforme al Considerando 38 RGPD, una ponderación reforzada específicamente en su favor.</w:t>
            </w:r>
          </w:p>
        </w:tc>
      </w:tr>
    </w:tbl>
    <w:p>
      <w:pPr>
        <w:spacing w:after="140" w:before="260"/>
      </w:pPr>
      <w:r>
        <w:rPr>
          <w:rFonts w:ascii="Calibri" w:cs="Calibri" w:eastAsia="Calibri" w:hAnsi="Calibri"/>
          <w:b/>
          <w:bCs/>
          <w:color w:val="1F3864"/>
          <w:sz w:val="26"/>
          <w:szCs w:val="26"/>
        </w:rPr>
        <w:t xml:space="preserve">2. Videovigilancia de la residencia y la oficina (T-01)</w:t>
      </w:r>
    </w:p>
    <w:p>
      <w:pPr>
        <w:spacing w:after="140" w:before="260"/>
      </w:pPr>
      <w:r>
        <w:rPr>
          <w:rFonts w:ascii="Calibri" w:cs="Calibri" w:eastAsia="Calibri" w:hAnsi="Calibri"/>
          <w:b/>
          <w:bCs/>
          <w:color w:val="1F3864"/>
          <w:sz w:val="22"/>
          <w:szCs w:val="22"/>
        </w:rPr>
        <w:t xml:space="preserve">2.1 Test de finalidad</w:t>
      </w:r>
    </w:p>
    <w:p>
      <w:pPr>
        <w:spacing w:after="120" w:line="260"/>
      </w:pPr>
      <w:r>
        <w:rPr>
          <w:rFonts w:ascii="Calibri" w:cs="Calibri" w:eastAsia="Calibri" w:hAnsi="Calibri"/>
          <w:sz w:val="19"/>
          <w:szCs w:val="19"/>
        </w:rPr>
        <w:t xml:space="preserve">Interés invocado: protección física de las personas que viven o trabajan en la residencia y la oficina —tres de ellas menores— y del patrimonio, con función disuasoria y de evidencia ante un incidente. No es un interés abstracto: el cuasi-incidente fundacional (ESC-001 §7) demuestra que la amenaza es real y que la aproximación física es parte de la cadena de riesgo (RSC-001).</w:t>
      </w:r>
    </w:p>
    <w:p>
      <w:pPr>
        <w:spacing w:after="140" w:before="260"/>
      </w:pPr>
      <w:r>
        <w:rPr>
          <w:rFonts w:ascii="Calibri" w:cs="Calibri" w:eastAsia="Calibri" w:hAnsi="Calibri"/>
          <w:b/>
          <w:bCs/>
          <w:color w:val="1F3864"/>
          <w:sz w:val="22"/>
          <w:szCs w:val="22"/>
        </w:rPr>
        <w:t xml:space="preserve">2.2 Test de necesidad</w:t>
      </w:r>
    </w:p>
    <w:p>
      <w:pPr>
        <w:spacing w:after="120" w:line="260"/>
      </w:pPr>
      <w:r>
        <w:rPr>
          <w:rFonts w:ascii="Calibri" w:cs="Calibri" w:eastAsia="Calibri" w:hAnsi="Calibri"/>
          <w:sz w:val="19"/>
          <w:szCs w:val="19"/>
        </w:rPr>
        <w:t xml:space="preserve">No existe alternativa razonable que ofrezca protección equivalente sin captar imagen: la vigilancia humana sola no deja evidencia reconstruible (es, de hecho, el fallo exacto que dejó pasar el cuasi-incidente fundacional diez semanas, ESC-001 §7). El tratamiento se limita a las zonas declaradas del perímetro y accesos —no a espacios de expectativa reforzada de intimidad como dormitorios o baños—, lo que descarta una captación más amplia de la estrictamente necesaria.</w:t>
      </w:r>
    </w:p>
    <w:p>
      <w:pPr>
        <w:spacing w:after="140" w:before="260"/>
      </w:pPr>
      <w:r>
        <w:rPr>
          <w:rFonts w:ascii="Calibri" w:cs="Calibri" w:eastAsia="Calibri" w:hAnsi="Calibri"/>
          <w:b/>
          <w:bCs/>
          <w:color w:val="1F3864"/>
          <w:sz w:val="22"/>
          <w:szCs w:val="22"/>
        </w:rPr>
        <w:t xml:space="preserve">2.3 Test de ponderación</w:t>
      </w:r>
    </w:p>
    <w:p>
      <w:pPr>
        <w:spacing w:after="120" w:line="260"/>
      </w:pPr>
      <w:r>
        <w:rPr>
          <w:rFonts w:ascii="Calibri" w:cs="Calibri" w:eastAsia="Calibri" w:hAnsi="Calibri"/>
          <w:sz w:val="19"/>
          <w:szCs w:val="19"/>
        </w:rPr>
        <w:t>A favor de Atalaya: el riesgo es grave (RSC-001 y equiparables alcanzan Crítico 16, el nivel máximo del registro), verosímil y ya materializado como cuasi-incidente. A favor del interesado: la CCTV capta a personas que no han consentido específicamente —personal doméstico, contratas, visitas— y a tres menores cuyas circunstancias exigen protección reforzada; no se utiliza su consentimiento como base de este tratamiento. Salvaguardas que inclinan la balanza: información previa mediante carteles (L-03, SGSI-REG-005), plazo de conservación limitado a un mes como máximo, con excepción limitada conforme al art. 22.3 LOPDGDD (SGSI-DOC-002 §5.1), acceso restringido y registrado a las grabaciones (jefe de seguridad), zonas de tránsito de personal ponderadas y no de estancia (L-03), y exclusión de zonas de expectativa reforzada de intimidad. Conclusión de necesidad y proporcionalidad de T-01: el diseño queda condicionado al mantenimiento efectivo de estas salvaguardas — su ausencia (p. ej., un plazo de conservación no verificado o el incumplimiento del deber de información) revertiría la ponderación.</w:t>
      </w:r>
    </w:p>
    <w:p>
      <w:pPr>
        <w:spacing w:after="140" w:before="260"/>
      </w:pPr>
      <w:r>
        <w:rPr>
          <w:rFonts w:ascii="Calibri" w:cs="Calibri" w:eastAsia="Calibri" w:hAnsi="Calibri"/>
          <w:b/>
          <w:bCs/>
          <w:color w:val="1F3864"/>
          <w:sz w:val="26"/>
          <w:szCs w:val="26"/>
        </w:rPr>
        <w:t xml:space="preserve">3. Registro de acceso de contratas y trabajos (T-02)</w:t>
      </w:r>
    </w:p>
    <w:p>
      <w:pPr>
        <w:spacing w:after="140" w:before="260"/>
      </w:pPr>
      <w:r>
        <w:rPr>
          <w:rFonts w:ascii="Calibri" w:cs="Calibri" w:eastAsia="Calibri" w:hAnsi="Calibri"/>
          <w:b/>
          <w:bCs/>
          <w:color w:val="1F3864"/>
          <w:sz w:val="22"/>
          <w:szCs w:val="22"/>
        </w:rPr>
        <w:t xml:space="preserve">3.1 Test de finalidad</w:t>
      </w:r>
    </w:p>
    <w:p>
      <w:pPr>
        <w:spacing w:after="120" w:line="260"/>
      </w:pPr>
      <w:r>
        <w:rPr>
          <w:rFonts w:ascii="Calibri" w:cs="Calibri" w:eastAsia="Calibri" w:hAnsi="Calibri"/>
          <w:sz w:val="19"/>
          <w:szCs w:val="19"/>
        </w:rPr>
        <w:t xml:space="preserve">Interés invocado: control y trazabilidad del acceso físico de terceros a la residencia y la oficina, y cumplimiento del deber de coordinación de actividades empresariales que la Ley 31/1995 y el RD 171/2004 imponen al titular del centro de trabajo (SGSI-REG-005, L-10) — aquí concurre además una obligación legal, lo que refuerza el interés sin sustituirlo como base jurídica principal de este registro nominal.</w:t>
      </w:r>
    </w:p>
    <w:p>
      <w:pPr>
        <w:spacing w:after="140" w:before="260"/>
      </w:pPr>
      <w:r>
        <w:rPr>
          <w:rFonts w:ascii="Calibri" w:cs="Calibri" w:eastAsia="Calibri" w:hAnsi="Calibri"/>
          <w:b/>
          <w:bCs/>
          <w:color w:val="1F3864"/>
          <w:sz w:val="22"/>
          <w:szCs w:val="22"/>
        </w:rPr>
        <w:t xml:space="preserve">3.2 Test de necesidad</w:t>
      </w:r>
    </w:p>
    <w:p>
      <w:pPr>
        <w:spacing w:after="120" w:line="260"/>
      </w:pPr>
      <w:r>
        <w:rPr>
          <w:rFonts w:ascii="Calibri" w:cs="Calibri" w:eastAsia="Calibri" w:hAnsi="Calibri"/>
          <w:sz w:val="19"/>
          <w:szCs w:val="19"/>
        </w:rPr>
        <w:t xml:space="preserve">La verificación del registro de riesgos (RSC-020) acreditó que el acompañamiento sin planificación previa es insuficiente: nadie sabe con antelación quién entra, cuándo ni a qué (SGSI-DOC-006 §7). El registro nominal con identificación, empresa y ventana horaria es el mínimo necesario para que la planificación (reglas O1-O5) sea verificable; una alternativa sin identificación nominal no permitiría reconstruir una intervención ni cumplir la obligación legal de coordinación.</w:t>
      </w:r>
    </w:p>
    <w:p>
      <w:pPr>
        <w:spacing w:after="140" w:before="260"/>
      </w:pPr>
      <w:r>
        <w:rPr>
          <w:rFonts w:ascii="Calibri" w:cs="Calibri" w:eastAsia="Calibri" w:hAnsi="Calibri"/>
          <w:b/>
          <w:bCs/>
          <w:color w:val="1F3864"/>
          <w:sz w:val="22"/>
          <w:szCs w:val="22"/>
        </w:rPr>
        <w:t xml:space="preserve">3.3 Test de ponderación</w:t>
      </w:r>
    </w:p>
    <w:p>
      <w:pPr>
        <w:spacing w:after="120" w:line="260"/>
      </w:pPr>
      <w:r>
        <w:rPr>
          <w:rFonts w:ascii="Calibri" w:cs="Calibri" w:eastAsia="Calibri" w:hAnsi="Calibri"/>
          <w:sz w:val="19"/>
          <w:szCs w:val="19"/>
        </w:rPr>
        <w:t xml:space="preserve">A favor de Atalaya: acceso a una vivienda privada y a información Confidencial y Restringida, con precedente de acceso no acreditado como escenario de riesgo (RSC-020). A favor del interesado: el personal de contratas tiene una expectativa razonable de que su acceso a un centro de trabajo quede registrado —es práctica habitual y exigida por la propia normativa de coordinación—, lo que reduce la intrusión percibida. Salvaguardas: plazo de conservación de 12 meses (DOC-002 §5.1), alcance limitado a identificación y datos de la intervención, sin acceso a información adicional del interesado. Conclusión: el interés legítimo prevalece con holgura; es el tratamiento de menor tensión de los cuatro evaluados.</w:t>
      </w:r>
    </w:p>
    <w:p>
      <w:pPr>
        <w:spacing w:after="140" w:before="260"/>
      </w:pPr>
      <w:r>
        <w:rPr>
          <w:rFonts w:ascii="Calibri" w:cs="Calibri" w:eastAsia="Calibri" w:hAnsi="Calibri"/>
          <w:b/>
          <w:bCs/>
          <w:color w:val="1F3864"/>
          <w:sz w:val="26"/>
          <w:szCs w:val="26"/>
        </w:rPr>
        <w:t xml:space="preserve">4. Registro de visitas no contractuales (T-03)</w:t>
      </w:r>
    </w:p>
    <w:p>
      <w:pPr>
        <w:spacing w:after="140" w:before="260"/>
      </w:pPr>
      <w:r>
        <w:rPr>
          <w:rFonts w:ascii="Calibri" w:cs="Calibri" w:eastAsia="Calibri" w:hAnsi="Calibri"/>
          <w:b/>
          <w:bCs/>
          <w:color w:val="1F3864"/>
          <w:sz w:val="22"/>
          <w:szCs w:val="22"/>
        </w:rPr>
        <w:t xml:space="preserve">4.1 Test de finalidad</w:t>
      </w:r>
    </w:p>
    <w:p>
      <w:pPr>
        <w:spacing w:after="120" w:line="260"/>
      </w:pPr>
      <w:r>
        <w:rPr>
          <w:rFonts w:ascii="Calibri" w:cs="Calibri" w:eastAsia="Calibri" w:hAnsi="Calibri"/>
          <w:sz w:val="19"/>
          <w:szCs w:val="19"/>
        </w:rPr>
        <w:t xml:space="preserve">Interés invocado: previsibilidad de los accesos de personas sin vínculo contractual con Atalaya —invitados de la familia— y correlación de indicios ante un patrón de aproximación hostil. Es, literalmente, la interfaz por la que entró el cuasi-incidente fundacional (SGSI-DOC-006 §8; ESC-001 §7): el interés no es hipotético.</w:t>
      </w:r>
    </w:p>
    <w:p>
      <w:pPr>
        <w:spacing w:after="140" w:before="260"/>
      </w:pPr>
      <w:r>
        <w:rPr>
          <w:rFonts w:ascii="Calibri" w:cs="Calibri" w:eastAsia="Calibri" w:hAnsi="Calibri"/>
          <w:b/>
          <w:bCs/>
          <w:color w:val="1F3864"/>
          <w:sz w:val="22"/>
          <w:szCs w:val="22"/>
        </w:rPr>
        <w:t xml:space="preserve">4.2 Test de necesidad</w:t>
      </w:r>
    </w:p>
    <w:p>
      <w:pPr>
        <w:spacing w:after="120" w:line="260"/>
      </w:pPr>
      <w:r>
        <w:rPr>
          <w:rFonts w:ascii="Calibri" w:cs="Calibri" w:eastAsia="Calibri" w:hAnsi="Calibri"/>
          <w:sz w:val="19"/>
          <w:szCs w:val="19"/>
        </w:rPr>
        <w:t>SGSI-DOC-006 §8 ya limita el tratamiento al mínimo defendible: nombre y hora aproximada, sin verificación de idoneidad ni firma de acuerdos —el propio documento declara que exigir más «sería desproporcionado, inaplicable y contrario a la vida normal de una familia». La alternativa de no registrar nada dejaría a Atalaya sin la fuente que, cruzada con el resto del cuaderno de indicios, es la que habría permitido detectar el cuasi-incidente antes, si los indicios necesarios hubieran estado disponibles y registrados (SGSI-DOC-009 §5).</w:t>
      </w:r>
    </w:p>
    <w:p>
      <w:pPr>
        <w:spacing w:after="140" w:before="260"/>
      </w:pPr>
      <w:r>
        <w:rPr>
          <w:rFonts w:ascii="Calibri" w:cs="Calibri" w:eastAsia="Calibri" w:hAnsi="Calibri"/>
          <w:b/>
          <w:bCs/>
          <w:color w:val="1F3864"/>
          <w:sz w:val="22"/>
          <w:szCs w:val="22"/>
        </w:rPr>
        <w:t xml:space="preserve">4.3 Test de ponderación</w:t>
      </w:r>
    </w:p>
    <w:p>
      <w:pPr>
        <w:spacing w:after="120" w:line="260"/>
      </w:pPr>
      <w:r>
        <w:rPr>
          <w:rFonts w:ascii="Calibri" w:cs="Calibri" w:eastAsia="Calibri" w:hAnsi="Calibri"/>
          <w:sz w:val="19"/>
          <w:szCs w:val="19"/>
        </w:rPr>
        <w:t xml:space="preserve">A favor de Atalaya: riesgo grave y ya materializado, mismo fundamento que T-01. A favor del interesado: se trata de personas ajenas a cualquier relación con Atalaya, en muchos casos amistades del hijo mayor (17 años) — su expectativa razonable de intimidad en un contexto social es alta, y el registro no se les comunica directamente a ellos sino que se acuerda con la familia (SGSI-DOC-006 §8). Salvaguardas: el aviso previo no otorga a Atalaya derecho de veto sobre las relaciones personales de la familia (regla N1); las visitas permanecen en zona social delimitada por diseño del espacio, no por vigilancia sobre ellas (regla N2, sostenida en la zonificación C-025/C-046); plazo de conservación de 6 meses, el más corto del sistema tras el de la CCTV (DOC-002 §5.1); y el propio DOC-006 §8 reconoce expresamente que estas reglas dependen del cumplimiento voluntario de la familia y no son verificables por medios técnicos — lo declara en vez de presentarlo como una barrera. Conclusión: el interés legítimo prevalece, con un margen más ajustado que T-01 y T-02 por la naturaleza personal y no profesional del interesado; la brevedad del plazo de conservación es la salvaguarda que lo sostiene.</w:t>
      </w:r>
    </w:p>
    <w:p>
      <w:pPr>
        <w:spacing w:after="140" w:before="260"/>
      </w:pPr>
      <w:r>
        <w:rPr>
          <w:rFonts w:ascii="Calibri" w:cs="Calibri" w:eastAsia="Calibri" w:hAnsi="Calibri"/>
          <w:b/>
          <w:bCs/>
          <w:color w:val="1F3864"/>
          <w:sz w:val="26"/>
          <w:szCs w:val="26"/>
        </w:rPr>
        <w:t xml:space="preserve">5. Cuaderno único de indicios — correlación físico-digital (T-04)</w:t>
      </w:r>
    </w:p>
    <w:p>
      <w:pPr>
        <w:spacing w:after="140" w:before="260"/>
      </w:pPr>
      <w:r>
        <w:rPr>
          <w:rFonts w:ascii="Calibri" w:cs="Calibri" w:eastAsia="Calibri" w:hAnsi="Calibri"/>
          <w:b/>
          <w:bCs/>
          <w:color w:val="1F3864"/>
          <w:sz w:val="22"/>
          <w:szCs w:val="22"/>
        </w:rPr>
        <w:t xml:space="preserve">5.1 Test de finalidad</w:t>
      </w:r>
    </w:p>
    <w:p>
      <w:pPr>
        <w:spacing w:after="120" w:line="260"/>
      </w:pPr>
      <w:r>
        <w:rPr>
          <w:rFonts w:ascii="Calibri" w:cs="Calibri" w:eastAsia="Calibri" w:hAnsi="Calibri"/>
          <w:sz w:val="19"/>
          <w:szCs w:val="19"/>
        </w:rPr>
        <w:t xml:space="preserve">Interés invocado: detección temprana de patrones de amenaza mediante la correlación de indicios físicos y digitales (SGSI-DOC-009 §5), diseñada expresamente para convertir en proceso repetible lo que en el cuasi-incidente fundacional dependió del azar y de la memoria de una persona concreta (ESC-001 §7; DOC-009 §1).</w:t>
      </w:r>
    </w:p>
    <w:p>
      <w:pPr>
        <w:spacing w:after="140" w:before="260"/>
      </w:pPr>
      <w:r>
        <w:rPr>
          <w:rFonts w:ascii="Calibri" w:cs="Calibri" w:eastAsia="Calibri" w:hAnsi="Calibri"/>
          <w:b/>
          <w:bCs/>
          <w:color w:val="1F3864"/>
          <w:sz w:val="22"/>
          <w:szCs w:val="22"/>
        </w:rPr>
        <w:t xml:space="preserve">5.2 Test de necesidad</w:t>
      </w:r>
    </w:p>
    <w:p>
      <w:pPr>
        <w:spacing w:after="120" w:line="260"/>
      </w:pPr>
      <w:r>
        <w:rPr>
          <w:rFonts w:ascii="Calibri" w:cs="Calibri" w:eastAsia="Calibri" w:hAnsi="Calibri"/>
          <w:sz w:val="19"/>
          <w:szCs w:val="19"/>
        </w:rPr>
        <w:t xml:space="preserve">El umbral deliberadamente bajo del protocolo —tres indicios débiles conectados valen una evaluación (DOC-009 §5)— y el registro unificado en un único cuaderno son necesarios porque el patrón que importa cruza dominios: un contacto digital nuevo con un miembro de la familia más un vehículo repetido no se detecta si cada dominio se registra por separado. Dos registros distintos sin correlación semanal reproducirían exactamente el fallo que originó el sistema.</w:t>
      </w:r>
    </w:p>
    <w:p>
      <w:pPr>
        <w:spacing w:after="140" w:before="260"/>
      </w:pPr>
      <w:r>
        <w:rPr>
          <w:rFonts w:ascii="Calibri" w:cs="Calibri" w:eastAsia="Calibri" w:hAnsi="Calibri"/>
          <w:b/>
          <w:bCs/>
          <w:color w:val="1F3864"/>
          <w:sz w:val="22"/>
          <w:szCs w:val="22"/>
        </w:rPr>
        <w:t xml:space="preserve">5.3 Test de ponderación — con refuerzo del art. 10 RGPD</w:t>
      </w:r>
    </w:p>
    <w:p>
      <w:pPr>
        <w:spacing w:after="120" w:line="260"/>
      </w:pPr>
      <w:r>
        <w:rPr>
          <w:rFonts w:ascii="Calibri" w:cs="Calibri" w:eastAsia="Calibri" w:hAnsi="Calibri"/>
          <w:sz w:val="19"/>
          <w:szCs w:val="19"/>
        </w:rPr>
        <w:t>La determinación de datos del art. 10 RGPD depende del contenido concreto y de que una persona sea identificada o identificable; la mera etiqueta «hostil» no determina por sí sola esa categoría. Cuando el contenido sea penal, no se incorpora a un archivo privado de investigación sin habilitación legal aplicable. La consulta jurídica y la EIPD no crean esa habilitación. La descripción funcional o la matrícula parcial tampoco garantizan anonimato. Se escala al Responsable del Tratamiento; la respuesta urgente a una amenaza y la comunicación necesaria a la autoridad competente no se demoran por un trámite ordinario de consulta. Se documentan necesidad, destinatario, contenido y fundamento de la comunicación.</w:t>
      </w:r>
    </w:p>
    <w:p>
      <w:pPr>
        <w:spacing w:after="120" w:line="260"/>
      </w:pPr>
      <w:r>
        <w:rPr>
          <w:rFonts w:ascii="Calibri" w:cs="Calibri" w:eastAsia="Calibri" w:hAnsi="Calibri"/>
          <w:sz w:val="19"/>
          <w:szCs w:val="19"/>
        </w:rPr>
        <w:t>La base jurídica y las garantías se determinan antes de iniciar el tratamiento correspondiente. Si no existe habilitación, no se crea un archivo privado de datos penales. La necesidad de consulta previa del art. 36 se decide según el riesgo residual, no por la simple aparición de una etiqueta penal.</w:t>
      </w:r>
    </w:p>
    <w:p>
      <w:pPr>
        <w:spacing w:after="120" w:line="260"/>
      </w:pPr>
      <w:r>
        <w:rPr>
          <w:rFonts w:ascii="Calibri" w:cs="Calibri" w:eastAsia="Calibri" w:hAnsi="Calibri"/>
          <w:sz w:val="19"/>
          <w:szCs w:val="19"/>
        </w:rPr>
        <w:t xml:space="preserve">Para el resto de entradas del cuaderno —eventos e indicios que no identifican a una persona por una conducta hostil o delictiva concreta, que son la mayoría (DOC-009 §2, definición de «evento» e «indicio»)—, la ponderación del art. 6.1.f sigue el mismo esquema que T-01 y T-03: riesgo grave y verosímil frente a la expectativa razonable de terceros y personal, con salvaguardas de plazo (24 meses, el más largo del sistema, justificado porque los patrones de vigilancia hostil se despliegan en plazos largos — DOC-002 §5.1), acceso restringido al jefe de seguridad y a la Dirección General en incidentes de severidad S1/S2 (DOC-009 §4), y revisión semanal por una sola persona designada, no por consulta abierta. Conclusión: el interés legítimo sostiene el tratamiento ordinario del cuaderno; no sostiene, por sí solo, la entrada de datos del art. 10 RGPD, que requiere el análisis reforzado de SGSI-DOC-012 antes de la primera entrada de esa naturaleza.</w:t>
      </w:r>
    </w:p>
    <w:p>
      <w:pPr>
        <w:spacing w:after="140" w:before="260"/>
      </w:pPr>
      <w:r>
        <w:rPr>
          <w:rFonts w:ascii="Calibri" w:cs="Calibri" w:eastAsia="Calibri" w:hAnsi="Calibri"/>
          <w:b/>
          <w:bCs/>
          <w:color w:val="1F3864"/>
          <w:sz w:val="26"/>
          <w:szCs w:val="26"/>
        </w:rPr>
        <w:t xml:space="preserve">6. Conclusión y medidas transversales</w:t>
      </w:r>
    </w:p>
    <w:p>
      <w:pPr>
        <w:spacing w:after="120" w:line="260"/>
      </w:pPr>
      <w:r>
        <w:rPr>
          <w:rFonts w:ascii="Calibri" w:cs="Calibri" w:eastAsia="Calibri" w:hAnsi="Calibri"/>
          <w:sz w:val="19"/>
          <w:szCs w:val="19"/>
        </w:rPr>
        <w:t>T-01 se analiza bajo su base específica. Las ponderaciones de T-02/T-03/T-04 describen el diseño previsto y quedan condicionadas a sus salvaguardas; no acreditan ejecución ni cierran la evaluación residual de DOC-012. DOC-002 §4 gobierna la revisión documental. Los cambios de finalidad, acceso, plazo o alcance obligan a revisar la evaluación correspondiente.</w:t>
      </w:r>
    </w:p>
    <w:p>
      <w:pPr>
        <w:spacing w:after="120" w:line="260"/>
      </w:pPr>
      <w:r>
        <w:rPr>
          <w:rFonts w:ascii="Calibri" w:cs="Calibri" w:eastAsia="Calibri" w:hAnsi="Calibri"/>
          <w:sz w:val="19"/>
          <w:szCs w:val="19"/>
        </w:rPr>
        <w:t xml:space="preserve">Medida pendiente identificada por este documento: la entrada de datos del art. 10 RGPD en el cuaderno de indicios (T-04) queda sujeta a la resolución de SGSI-DOC-012 (EIPD) antes de su primera ocurrencia real; hasta entonces, el jefe de seguridad debe tratar cualquier indicio de esa naturaleza con el mismo criterio de minimización que ya aplica —descripción funcional, no archivo de investigación— y escalarlo a Dirección General conforme a DOC-009 §4.</w:t>
      </w:r>
    </w:p>
    <w:p>
      <w:pPr>
        <w:spacing w:after="140" w:before="26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c>
          <w:tcPr>
            <w:tcW w:type="dxa" w:w="3000"/>
            <w:tcBorders>
              <w:top w:val="single" w:color="999999" w:sz="4"/>
              <w:left w:val="single" w:color="999999" w:sz="4"/>
              <w:bottom w:val="single" w:color="999999" w:sz="4"/>
              <w:right w:val="single" w:color="999999" w:sz="4"/>
            </w:tcBorders>
            <w:shd w:fill="F2F2F2" w:val="clear"/>
          </w:tcPr>
          <w:p>
            <w:pPr>
              <w:spacing w:after="0" w:line="260"/>
            </w:pPr>
            <w:r>
              <w:rPr>
                <w:rFonts w:ascii="Calibri" w:cs="Calibri" w:eastAsia="Calibri" w:hAnsi="Calibri"/>
                <w:b/>
                <w:bCs/>
                <w:sz w:val="19"/>
                <w:szCs w:val="19"/>
              </w:rPr>
              <w:t xml:space="preserve">Sección</w:t>
            </w:r>
          </w:p>
        </w:tc>
        <w:tc>
          <w:tcPr>
            <w:tcW w:type="dxa" w:w="6638"/>
            <w:tcBorders>
              <w:top w:val="single" w:color="999999" w:sz="4"/>
              <w:left w:val="single" w:color="999999" w:sz="4"/>
              <w:bottom w:val="single" w:color="999999" w:sz="4"/>
              <w:right w:val="single" w:color="999999" w:sz="4"/>
            </w:tcBorders>
            <w:shd w:fill="F2F2F2" w:val="clear"/>
          </w:tcPr>
          <w:p>
            <w:pPr>
              <w:spacing w:after="0" w:line="260"/>
            </w:pPr>
            <w:r>
              <w:rPr>
                <w:rFonts w:ascii="Calibri" w:cs="Calibri" w:eastAsia="Calibri" w:hAnsi="Calibri"/>
                <w:b/>
                <w:bCs/>
                <w:sz w:val="19"/>
                <w:szCs w:val="19"/>
              </w:rPr>
              <w:t xml:space="preserve">Referencia normativa / SGSI</w:t>
            </w:r>
          </w:p>
        </w:tc>
      </w:tr>
      <w:tr>
        <w:trPr/>
        <w:tc>
          <w:tcPr>
            <w:tcW w:type="dxa" w:w="3000"/>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1 — Metodología</w:t>
            </w:r>
          </w:p>
        </w:tc>
        <w:tc>
          <w:tcPr>
            <w:tcW w:type="dxa" w:w="6638"/>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RGPD art. 6.1.f, Considerando 47; Dictamen 06/2014 GT29</w:t>
            </w:r>
          </w:p>
        </w:tc>
      </w:tr>
      <w:tr>
        <w:trPr/>
        <w:tc>
          <w:tcPr>
            <w:tcW w:type="dxa" w:w="3000"/>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2 — Videovigilancia (T-01)</w:t>
            </w:r>
          </w:p>
        </w:tc>
        <w:tc>
          <w:tcPr>
            <w:tcW w:type="dxa" w:w="6638"/>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SGSI-REG-005 L-03; SGSI-DOC-006 §5; SGSI-REG-008 T-01</w:t>
            </w:r>
          </w:p>
        </w:tc>
      </w:tr>
      <w:tr>
        <w:trPr/>
        <w:tc>
          <w:tcPr>
            <w:tcW w:type="dxa" w:w="3000"/>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3 — Contratas (T-02)</w:t>
            </w:r>
          </w:p>
        </w:tc>
        <w:tc>
          <w:tcPr>
            <w:tcW w:type="dxa" w:w="6638"/>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SGSI-REG-005 L-10; SGSI-DOC-006 §7; SGSI-REG-008 T-02</w:t>
            </w:r>
          </w:p>
        </w:tc>
      </w:tr>
      <w:tr>
        <w:trPr/>
        <w:tc>
          <w:tcPr>
            <w:tcW w:type="dxa" w:w="3000"/>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4 — Visitas (T-03)</w:t>
            </w:r>
          </w:p>
        </w:tc>
        <w:tc>
          <w:tcPr>
            <w:tcW w:type="dxa" w:w="6638"/>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SGSI-DOC-006 §8; SGSI-REG-008 T-03</w:t>
            </w:r>
          </w:p>
        </w:tc>
      </w:tr>
      <w:tr>
        <w:trPr/>
        <w:tc>
          <w:tcPr>
            <w:tcW w:type="dxa" w:w="3000"/>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5 — Cuaderno de indicios (T-04)</w:t>
            </w:r>
          </w:p>
        </w:tc>
        <w:tc>
          <w:tcPr>
            <w:tcW w:type="dxa" w:w="6638"/>
            <w:tcBorders>
              <w:top w:val="single" w:color="999999" w:sz="4"/>
              <w:left w:val="single" w:color="999999" w:sz="4"/>
              <w:bottom w:val="single" w:color="999999" w:sz="4"/>
              <w:right w:val="single" w:color="999999" w:sz="4"/>
            </w:tcBorders>
          </w:tcPr>
          <w:p>
            <w:pPr>
              <w:spacing w:after="0" w:line="260"/>
            </w:pPr>
            <w:r>
              <w:rPr>
                <w:rFonts w:ascii="Calibri" w:cs="Calibri" w:eastAsia="Calibri" w:hAnsi="Calibri"/>
                <w:sz w:val="19"/>
                <w:szCs w:val="19"/>
              </w:rPr>
              <w:t xml:space="preserve">RGPD art. 10; LOPDGDD art. 10; SGSI-DOC-009 §5; SGSI-REG-008 T-04; remite a SGSI-DOC-012</w:t>
            </w:r>
          </w:p>
        </w:tc>
      </w:tr>
    </w:tbl>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rFonts w:ascii="Calibri" w:cs="Calibri" w:eastAsia="Calibri" w:hAnsi="Calibri"/>
        <w:color w:val="666666"/>
        <w:sz w:val="16"/>
        <w:szCs w:val="16"/>
      </w:rPr>
      <w:t xml:space="preserve">Clasificación: Confidencial</w:t>
    </w:r>
    <w:r>
      <w:rPr>
        <w:rFonts w:ascii="Calibri" w:cs="Calibri" w:eastAsia="Calibri" w:hAnsi="Calibri"/>
        <w:color w:val="666666"/>
        <w:sz w:val="16"/>
        <w:szCs w:val="16"/>
      </w:rPr>
      <w:tab/>
      <w:t>SGSI-DOC-011 v1.1</w:t>
      <w:tab/>
    </w: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2026-08-20T17:21:42.059Z</dcterms:created>
  <dcterms:modified xsi:type="dcterms:W3CDTF">2026-08-20T17:21:42.059Z</dcterms:modified>
</cp:coreProperties>
</file>

<file path=docProps/custom.xml><?xml version="1.0" encoding="utf-8"?>
<Properties xmlns="http://schemas.openxmlformats.org/officeDocument/2006/custom-properties" xmlns:vt="http://schemas.openxmlformats.org/officeDocument/2006/docPropsVTypes"/>
</file>