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Evaluación de Impacto relativa a la Protección de Datos (EIPD)</w:t>
      </w:r>
    </w:p>
    <w:p>
      <w:pPr>
        <w:spacing w:after="120" w:line="2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RGPD art. 35 y 36; Directrices WP248 rev.01 del Grupo de Trabajo del Artículo 29 sobre la evaluación de impacto, adoptadas por el CEPD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19"/>
        <w:gridCol w:w="2100"/>
        <w:gridCol w:w="2719"/>
      </w:tblGrid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Código de documento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SGSI-DOC-012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1.2</w:t>
            </w:r>
          </w:p>
        </w:tc>
      </w:tr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Revisión documental — pendiente de aprobación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Confidencial</w:t>
            </w:r>
          </w:p>
        </w:tc>
      </w:tr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Propietario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Dirección General — Atalaya GP SL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Autor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consultor (externo)</w:t>
            </w:r>
          </w:p>
        </w:tc>
      </w:tr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de emisión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20/08/2026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de aprobación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Pendiente</w:t>
            </w:r>
          </w:p>
        </w:tc>
      </w:tr>
      <w:tr>
        <w:trPr/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Aprobado por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Pendiente conforme a DOC-002 §4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Registro de aprobación</w:t>
            </w:r>
          </w:p>
        </w:tc>
        <w:tc>
          <w:tcPr>
            <w:tcW w:type="dxa" w:w="27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Sin acta de aprobación de esta revisión. No acredita implantación ni firma contractual.</w:t>
            </w:r>
          </w:p>
        </w:tc>
      </w:tr>
    </w:tbl>
    <w:p>
      <w:pPr>
        <w:spacing w:after="200"/>
      </w:pPr>
    </w:p>
    <w:p>
      <w:pPr>
        <w:spacing w:after="100" w:lin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Historial de versiones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400"/>
        <w:gridCol w:w="4638"/>
      </w:tblGrid>
      <w:tr>
        <w:trPr/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Descripción del cambio</w:t>
            </w:r>
          </w:p>
        </w:tc>
      </w:tr>
      <w:tr>
        <w:trPr/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20/08/2026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Emisión inicial. Ejecuta la evaluación de impacto exigida por SGSI-REG-005 (L-01) antes de la monitorización sistemática de personas, sobre los tratamientos T-01 (videovigilancia) y T-04 (cuaderno de indicios) de SGSI-REG-008.</w:t>
            </w:r>
          </w:p>
        </w:tc>
      </w:tr>
      <w:tr>
        <w:trPr/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20/08/2026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Aprobación del documento.</w:t>
            </w:r>
          </w:p>
        </w:tc>
      </w:tr>
      <w:tr>
        <w:trPr/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21/08/2026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consultor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>Corrección de nomenclatura en §3, tabla de riesgos (fila «Estigmatización de un menor»): sustitución de «nombre propio del hijo mayor» por «el hijo mayor (17 años)», conforme a la regla de SGSI-DOC-003 §3 (nombres propios solo en ESC-001 e INF-001). Hallazgo de la verificación cruzada de agosto de 2026.</w:t>
            </w:r>
          </w:p>
        </w:tc>
      </w:tr>
      <w:tr>
        <w:trPr/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21/08/2026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Comité de Seguridad Convergente</w:t>
            </w:r>
          </w:p>
        </w:tc>
        <w:tc>
          <w:tcPr>
            <w:tcW w:type="dxa" w:w="4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Aprobación de la revisión 1.1.</w:t>
            </w:r>
          </w:p>
        </w:tc>
      </w:tr>
      <w:tr>
        <w:trPr/>
        <w:tc>
          <w:tcPr>
            <w:tcW w:type="dxa" w:w="1100"/>
          </w:tcPr>
          <w:p>
            <w:r>
              <w:t>1.2</w:t>
            </w:r>
          </w:p>
        </w:tc>
        <w:tc>
          <w:tcPr>
            <w:tcW w:type="dxa" w:w="1500"/>
          </w:tcPr>
          <w:p>
            <w:r>
              <w:t>20/09/2026</w:t>
            </w:r>
          </w:p>
        </w:tc>
        <w:tc>
          <w:tcPr>
            <w:tcW w:type="dxa" w:w="2400"/>
          </w:tcPr>
          <w:p>
            <w:r>
              <w:t>Autor del caso</w:t>
            </w:r>
          </w:p>
        </w:tc>
        <w:tc>
          <w:tcPr>
            <w:tcW w:type="dxa" w:w="4638"/>
          </w:tcPr>
          <w:p>
            <w:r>
              <w:t>Revisión de coherencia de septiembre. Deltas y verificación en docs/fase1-iso27001/correcciones_2026-09.md. Sin cambios en la fecha de corte.</w:t>
            </w:r>
          </w:p>
        </w:tc>
      </w:tr>
    </w:tbl>
    <w:p>
      <w:pP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Objeto y criterio de obligatoriedad</w:t>
      </w:r>
    </w:p>
    <w:p>
      <w:pPr>
        <w:spacing w:after="120" w:line="260"/>
      </w:pPr>
      <w:r>
        <w:rPr>
          <w:rFonts w:ascii="Calibri" w:cs="Calibri" w:eastAsia="Calibri" w:hAnsi="Calibri"/>
          <w:sz w:val="19"/>
          <w:szCs w:val="19"/>
        </w:rPr>
        <w:t xml:space="preserve">El art. 35 RGPD exige una evaluación de impacto cuando un tipo de tratamiento, en particular el que use nuevas tecnologías, entrañe probablemente un alto riesgo para los derechos y libertades de las personas. Las directrices WP248 rev.01 del Grupo de Trabajo del Artículo 29, adoptadas por el Comité Europeo de Protección de Datos, fijan nueve criterios orientativos y consideran que la concurrencia de dos o más ya aconseja realizar la evaluación. En los tratamientos T-01 (videovigilancia) y T-04 (cuaderno de indicios) de SGSI-REG-008 concurren cuatro: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/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Observación sistemática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CCTV opera de forma continua sobre el perímetro y los accesos, y el cuaderno de indicios se revisa semanalmente por diseño (DOC-009 §5), no de forma puntual.</w:t>
            </w:r>
          </w:p>
        </w:tc>
      </w:tr>
      <w:tr>
        <w:trPr/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Interesados vulnerables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Tres menores de edad (6, 14 y 17 años) son interesados directos de T-01 y potencialmente de T-04.</w:t>
            </w:r>
          </w:p>
        </w:tc>
      </w:tr>
      <w:tr>
        <w:trPr/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Cruce o combinación de tratamientos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cuaderno de indicios correlaciona por diseño fuentes de dominios distintos —CCTV, registro de visitas, registro de contratas, alertas técnicas del MSP— que de otro modo permanecerían separadas (DOC-009 §5).</w:t>
            </w:r>
          </w:p>
        </w:tc>
      </w:tr>
      <w:tr>
        <w:trPr/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relativos a infracciones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El cuaderno puede incluir datos relativos a condenas o infracciones penales de personas identificadas o identificables. La mera descripción de una conducta hostil no determina automáticamente ese encaje; se aplica DOC-011 §5.3 y el análisis del contenido concreto.</w:t>
            </w:r>
          </w:p>
        </w:tc>
      </w:tr>
    </w:tbl>
    <w:p>
      <w:pPr>
        <w:spacing w:after="120" w:line="260"/>
      </w:pPr>
      <w:r>
        <w:rPr>
          <w:rFonts w:ascii="Calibri" w:cs="Calibri" w:eastAsia="Calibri" w:hAnsi="Calibri"/>
          <w:sz w:val="19"/>
          <w:szCs w:val="19"/>
        </w:rPr>
        <w:t xml:space="preserve">Con cuatro criterios concurrentes, la evaluación de impacto es obligatoria y no discrecional. Este documento la ejecuta. Queda fuera de su alcance la herramienta de monitorización de huella digital de la Fase 2 del caso: hoy no existe diseño alguno de esa herramienta, y una EIPD sobre un sistema no diseñado sería un ejercicio de relleno. SGSI-REG-005 (F-01) ya declara que esa EIPD es obligatoria antes de su puesta en marcha, cuando exista algo real que evaluar.</w:t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Descripción sistemática de los tratamientos evaluados</w:t>
      </w:r>
    </w:p>
    <w:p>
      <w:pPr>
        <w:spacing w:after="120" w:line="260"/>
      </w:pPr>
      <w:r>
        <w:rPr>
          <w:rFonts w:ascii="Calibri" w:cs="Calibri" w:eastAsia="Calibri" w:hAnsi="Calibri"/>
          <w:sz w:val="19"/>
          <w:szCs w:val="19"/>
        </w:rPr>
        <w:t xml:space="preserve">La descripción completa de cada tratamiento —finalidad, base jurídica, categorías de interesados y de datos, destinatarios, plazos— está en SGSI-REG-008 (RAT), tratamientos T-01 y T-04; no se repite aquí para no duplicar una fuente que debe mantenerse única. Se resume lo esencial para la evaluación de riesgo que sigue: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/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T-01 — Videovigilancia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Grabación en perímetro y accesos de residencia y oficina. Interesados: familia, empleados, contratas y visitas. Conservación: un mes máximo, con excepción limitada del art. 22.3 LOPDGDD según REG-008 T-01. MSP como Encargado; carencia contractual HD-08 en REG-006 y DOC-010 §4.1.</w:t>
            </w:r>
          </w:p>
        </w:tc>
      </w:tr>
      <w:tr>
        <w:trPr/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T-04 — Cuaderno de indicios</w:t>
            </w:r>
          </w:p>
        </w:tc>
        <w:tc>
          <w:tcPr>
            <w:tcW w:type="dxa" w:w="7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Registro unificado de eventos físicos y digitales con revisión semanal de correlación. Interesados: cualquier persona que genere un indicio, incluidas personas ajenas señaladas por una conducta sospechosa. Conservación: 24 meses. Acceso: jefe de seguridad; Dirección General en S1/S2.</w:t>
            </w:r>
          </w:p>
        </w:tc>
      </w:tr>
    </w:tbl>
    <w:p>
      <w:pPr>
        <w:spacing w:after="120" w:line="260"/>
      </w:pPr>
      <w:r>
        <w:rPr>
          <w:rFonts w:ascii="Calibri" w:cs="Calibri" w:eastAsia="Calibri" w:hAnsi="Calibri"/>
          <w:sz w:val="19"/>
          <w:szCs w:val="19"/>
        </w:rPr>
        <w:t xml:space="preserve">El juicio de necesidad y proporcionalidad de ambos tratamientos —incluida la alternativa menos intrusiva considerada y descartada en cada caso— ya está desarrollado en SGSI-DOC-011 (Juicio de ponderación del interés legítimo), secciones 2 y 5, y no se repite aquí: la EIPD lo da por hecho y se concentra en el paso que DOC-011 no cubre, la evaluación de riesgos para los interesados.</w:t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Identificación y evaluación de riesgos para los interesados</w:t>
      </w:r>
    </w:p>
    <w:p>
      <w:pPr>
        <w:spacing w:after="120" w:line="260"/>
      </w:pPr>
      <w:r>
        <w:rPr>
          <w:rFonts w:ascii="Calibri" w:cs="Calibri" w:eastAsia="Calibri" w:hAnsi="Calibri"/>
          <w:sz w:val="19"/>
          <w:szCs w:val="19"/>
        </w:rPr>
        <w:t xml:space="preserve">Esta evaluación mide el riesgo desde el lado del interesado — qué le puede pasar a la persona cuyo dato se trata —, no desde el lado de Atalaya. Es una perspectiva distinta y complementaria a la del registro de riesgos patrimoniales (SGSI-REG-001): un control que protege perfectamente el patrimonio de la familia puede, al mismo tiempo, generar un riesgo no tratado para un tercero cuyo dato queda atrapado en el sistema. Escala: Probabilidad y Gravedad en Baja/Media/Alta, con Nivel resultante por matriz 3×3 propia de esta evaluación. No se reutiliza la matriz 4×4 de SGSI-DOC-004 §4.3: esa matriz ancla el impacto en daño patrimonial y físico (pérdida en euros, secuestro), categorías que no describen el riesgo para los derechos del interesado que exige el art. 35 RGPD. Se opta por una escala cualitativa simple y propia, coherente con el criterio de las Directrices WP248 rev.01 de priorizar claridad sobre falsa precisión numérica.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100"/>
        <w:gridCol w:w="1000"/>
        <w:gridCol w:w="3238"/>
      </w:tblGrid>
      <w:tr>
        <w:trPr/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Riesgo para el interesado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Gravedad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Nivel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Medida mitigadora</w:t>
            </w:r>
          </w:p>
        </w:tc>
      </w:tr>
      <w:tr>
        <w:trPr/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Desviación de finalidad: el cuaderno de indicios, diseñado para amenazas de seguridad, se usa para supervisión disciplinaria del personal doméstico o para vigilar las amistades del hijo mayor.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Alto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>DOC-009 §2 define «evento» e «indicio» en términos de amenaza de seguridad, no de conducta laboral o social; el acceso está limitado al jefe de seguridad y a Dirección General (§4). Recomendación: la revisión anual (DOC-002 §4) debe verificar explícitamente que no se han registrado entradas ajenas a esa definición.</w:t>
            </w:r>
          </w:p>
        </w:tc>
      </w:tr>
      <w:tr>
        <w:trPr/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Estigmatización de un menor: un patrón social ordinario del hijo mayor (17 años) queda registrado como indicio de seguridad y se comparte o interpreta fuera de contexto.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Alto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DOC-009 §5 exige evaluar el patrón y minimizar información. La comunicación de indicios de menores necesita finalidad, necesidad, base jurídica y destinatario pertinente; la representación familiar no sustituye ese análisis ni impide una comunicación urgente legalmente necesaria. Estado: previsto, eficacia no acreditada.</w:t>
            </w:r>
          </w:p>
        </w:tc>
      </w:tr>
      <w:tr>
        <w:trPr/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Falso positivo en la correlación semanal: una persona inocente con presencia recurrente (repartidor, familiar del personal doméstico) queda marcada repetidamente como indicio sin mecanismo de corrección.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umbral bajo (tres indicios) que da sensibilidad al sistema también genera falsos positivos por diseño — es el precio deliberado de no repetir el fallo del cuasi-incidente fundacional. Recomendación: incorporar a DOC-009 §5 un campo de «descarte razonado» para cerrar expresamente un patrón identificado como inocuo, evitando que reaparezca en cada revisión.</w:t>
            </w:r>
          </w:p>
        </w:tc>
      </w:tr>
      <w:tr>
        <w:trPr/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indebido a las grabaciones o al cuaderno por el MSP o un tercero no autorizado, sin obligaciones contractuales claras.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Alto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Hallazgo ya identificado y en tratamiento: HD-08 (SGSI-REG-006, SGSI-DOC-010 §4.1) — ausencia de contrato de encargado del tratamiento (art. 28 RGPD) con el MSP. Esta EIPD no añade una medida nueva: confirma que HD-08 es también, y con el mismo peso, una medida mitigadora de un riesgo para los interesados, no solo una deuda documental interna.</w:t>
            </w:r>
          </w:p>
        </w:tc>
      </w:tr>
      <w:tr>
        <w:trPr/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>Conservación de facto más allá del plazo declarado (un mes CCTV; 24 meses cuaderno), por ausencia de borrado verificado.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DOC-002 §5.1 fija el plazo; no hay hoy un control específico del registro de riesgos que verifique su ejecución. Recomendación: dar de alta en SGSI-REG-001 un control organizativo de verificación periódica del borrado efectivo, con la misma exigencia de evidencia registrada que aplica al resto del sistema (regla de cobertura efectiva, DOC-004 §6).</w:t>
            </w:r>
          </w:p>
        </w:tc>
      </w:tr>
      <w:tr>
        <w:trPr/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>Tratamiento de datos del art. 10 RGPD (infracciones penales) sin base jurídica reforzada cuando el contenido concreto se refiere a condenas o infracciones penales de una persona identificada o identificable.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</w:t>
            </w:r>
          </w:p>
        </w:tc>
        <w:tc>
          <w:tcPr>
            <w:tcW w:type="dxa" w:w="3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Aplicar DOC-009 §5: determinar el contenido y la identificabilidad antes de registrar datos penales; no crear archivo privado sin habilitación legal. La consulta jurídica no la sustituye. Escalar al Responsable del Tratamiento y preservar la respuesta urgente legalmente necesaria. Estado: previsto, eficacia no acreditada.</w:t>
            </w:r>
          </w:p>
        </w:tc>
      </w:tr>
    </w:tbl>
    <w:p>
      <w:r>
        <w:t>Criterio residual de esta revisión: mientras no exista una justificación de reducción, se conserva provisionalmente para cada fila su nivel inicial (Alto, Alto, Medio, Alto, Medio, Medio). Esto no equivale a aceptación. La escala inicial es Baja/Media/Alta, puntuadas 1/2/3; producto 1–2 Bajo, 3–4 Medio y 6–9 Alto. Cada medida se vincula a la fila correspondiente. El borrado verificado y el tratamiento de geolocalización T-07 requieren desarrollo y revisión de alcance; se mantienen como acciones abiertas en REG-006, sin inventar controles implantados.</w:t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Resultado y consulta previa (art. 36 RGPD)</w:t>
      </w:r>
    </w:p>
    <w:p>
      <w:pPr>
        <w:spacing w:after="120" w:line="260"/>
      </w:pPr>
      <w:r>
        <w:rPr>
          <w:rFonts w:ascii="Calibri" w:cs="Calibri" w:eastAsia="Calibri" w:hAnsi="Calibri"/>
          <w:sz w:val="19"/>
          <w:szCs w:val="19"/>
        </w:rPr>
        <w:t>La tabla identifica tres riesgos Altos: desviación de finalidad, estigmatización del menor y acceso indebido del MSP. No se acredita reducción residual por medidas solo previstas o en curso. La conclusión previa de ausencia general de consulta se retira. Antes de iniciar o continuar la operación de los tratamientos de alto riesgo se completa su valoración residual con medidas concretas y condiciones verificables; si persiste alto riesgo sin mitigación suficiente, corresponde consulta previa conforme al art. 36 RGPD. No se declara aquí realizada esa consulta ni demostrada eficacia.</w:t>
      </w:r>
    </w:p>
    <w:p>
      <w:pPr>
        <w:spacing w:after="120" w:line="260"/>
      </w:pPr>
      <w:r>
        <w:rPr>
          <w:rFonts w:ascii="Calibri" w:cs="Calibri" w:eastAsia="Calibri" w:hAnsi="Calibri"/>
          <w:sz w:val="19"/>
          <w:szCs w:val="19"/>
        </w:rPr>
        <w:t>La determinación de datos del art. 10 RGPD depende del contenido concreto y de que una persona sea identificada o identificable; la mera etiqueta «hostil» no determina por sí sola esa categoría. Cuando el contenido sea penal, no se incorpora a un archivo privado de investigación sin habilitación legal aplicable. La consulta jurídica y la EIPD no crean esa habilitación. La descripción funcional o la matrícula parcial tampoco garantizan anonimato. Se escala al Responsable del Tratamiento; la respuesta urgente a una amenaza y la comunicación necesaria a la autoridad competente no se demoran por un trámite ordinario de consulta. Se documentan necesidad, destinatario, contenido y fundamento de la comunicación.</w:t>
      </w:r>
    </w:p>
    <w:p>
      <w:pPr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Anexo A. Trazabilidad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/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Sección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Referencia normativa / SGSI</w:t>
            </w:r>
          </w:p>
        </w:tc>
      </w:tr>
      <w:tr>
        <w:trPr/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— Obligatoriedad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RGPD art. 35; Directrices WP248 rev.01; SGSI-REG-005 L-01, F-01</w:t>
            </w:r>
          </w:p>
        </w:tc>
      </w:tr>
      <w:tr>
        <w:trPr/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— Descripción de los tratamientos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SGSI-REG-008 T-01, T-04; SGSI-DOC-011 §2 y §5</w:t>
            </w:r>
          </w:p>
        </w:tc>
      </w:tr>
      <w:tr>
        <w:trPr/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— Riesgos para los interesados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Escala propia (no deriva de SGSI-DOC-004 §4.3); SGSI-DOC-006 §5; SGSI-DOC-009 §2 y §5; SGSI-REG-006 HD-08; SGSI-DOC-002 §5.1</w:t>
            </w:r>
          </w:p>
        </w:tc>
      </w:tr>
      <w:tr>
        <w:trPr/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— Consulta previa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RGPD art. 36; LOPDGDD art. 10</w:t>
            </w:r>
          </w:p>
        </w:tc>
      </w:tr>
    </w:tbl>
    <w:sectPr>
      <w:headerReference w:type="default" r:id="rId7"/>
      <w:footerReference w:type="default" r:id="rId8"/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center" w:pos="4513"/>
        <w:tab w:val="right" w:pos="9026"/>
      </w:tabs>
    </w:pPr>
    <w:r>
      <w:rPr>
        <w:rFonts w:ascii="Calibri" w:cs="Calibri" w:eastAsia="Calibri" w:hAnsi="Calibri"/>
        <w:color w:val="666666"/>
        <w:sz w:val="16"/>
        <w:szCs w:val="16"/>
      </w:rPr>
      <w:t xml:space="preserve">Clasificación: Confidencial</w:t>
    </w:r>
    <w:r>
      <w:rPr>
        <w:rFonts w:ascii="Calibri" w:cs="Calibri" w:eastAsia="Calibri" w:hAnsi="Calibri"/>
        <w:color w:val="666666"/>
        <w:sz w:val="16"/>
        <w:szCs w:val="16"/>
      </w:rPr>
      <w:tab/>
      <w:t>SGSI-DOC-012 v1.2</w:t>
      <w:tab/>
    </w:r>
    <w:r>
      <w:rPr>
        <w:rFonts w:ascii="Calibri" w:cs="Calibri" w:eastAsia="Calibri" w:hAnsi="Calibri"/>
        <w:color w:val="666666"/>
        <w:sz w:val="16"/>
        <w:szCs w:val="16"/>
      </w:rPr>
      <w:t xml:space="preserve">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Calibri" w:cs="Calibri" w:eastAsia="Calibri" w:hAnsi="Calibri"/>
        <w:color w:val="666666"/>
        <w:sz w:val="16"/>
        <w:szCs w:val="16"/>
      </w:rPr>
      <w:t xml:space="preserve">Atalaya Gestión Patrimonial SL — Sistema de Gestión de Seguridad de la Información</w:t>
    </w:r>
    <w:r>
      <w:rPr>
        <w:rFonts w:ascii="Calibri" w:cs="Calibri" w:eastAsia="Calibri" w:hAnsi="Calibri"/>
        <w:color w:val="666666"/>
        <w:sz w:val="16"/>
        <w:szCs w:val="16"/>
      </w:rPr>
      <w:t xml:space="preserve">	SGSI-DOC-012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2026-08-21T12:46:05.754Z</dcterms:created>
  <dcterms:modified xsi:type="dcterms:W3CDTF">2026-08-21T12:46:05.771Z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