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Informe ejecutivo para la propiedad</w:t>
      </w:r>
    </w:p>
    <w:p>
      <w:pPr>
        <w:spacing w:after="240"/>
      </w:pPr>
      <w:r>
        <w:rPr>
          <w:rFonts w:ascii="Calibri" w:cs="Calibri" w:eastAsia="Calibri" w:hAnsi="Calibri"/>
          <w:color w:val="595959"/>
          <w:sz w:val="22"/>
          <w:szCs w:val="22"/>
        </w:rPr>
        <w:t xml:space="preserve">Estado del sistema de protección de la información — julio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13"/>
        <w:gridCol w:w="2100"/>
        <w:gridCol w:w="2413"/>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Código de documento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SGSI-INF-001</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Versión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1.6</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Estado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Clasificación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Confidencial</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Propietario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Autor</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 de emisión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 de aprobación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Aprobado por</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Registro de aprobación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100" w:before="200"/>
      </w:pPr>
      <w:r>
        <w:rPr>
          <w:rFonts w:ascii="Calibri" w:cs="Calibri" w:eastAsia="Calibri" w:hAnsi="Calibri"/>
          <w:b/>
          <w:bCs/>
          <w:sz w:val="20"/>
          <w:szCs w:val="20"/>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526"/>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Versión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Autor</w:t>
            </w:r>
          </w:p>
        </w:tc>
        <w:tc>
          <w:tcPr>
            <w:tcW w:type="dxa" w:w="35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Descripción del cambio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Emisión inicial. Informe de cierre del diseño del SGSI para la propiedad.</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emisión inicial.</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del recuento de riesgos sin cobertura convergente: siete corregidos, dos abiertos como deuda de diseño (HD-02).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1.1.</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del recuento de escenarios en nivel Crítico en §3 (tres, no cinco).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 §5 con los plazos reales del plan de tratamiento (SGSI-REG-002).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1.3.</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 §1 (detección por conocimiento local, no matrícula) y de §6 (aceptación del riesgo residual). Ver decisiones.md §20 y §21.</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1.4.</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Recorte del historial de versiones a una línea por entrada, con referencia a decisiones.md donde procede. Sin cambios de fondo.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1.5.</w:t>
            </w:r>
          </w:p>
        </w:tc>
      </w:tr>
      <w:tr>
        <w:trPr/>
        <w:tc>
          <w:tcPr>
            <w:tcW w:type="dxa" w:w="1400"/>
          </w:tcPr>
          <w:p>
            <w:r>
              <w:t>1.6</w:t>
            </w:r>
          </w:p>
        </w:tc>
        <w:tc>
          <w:tcPr>
            <w:tcW w:type="dxa" w:w="1700"/>
          </w:tcPr>
          <w:p>
            <w:r>
              <w:t>20/09/2026</w:t>
            </w:r>
          </w:p>
        </w:tc>
        <w:tc>
          <w:tcPr>
            <w:tcW w:type="dxa" w:w="2400"/>
          </w:tcPr>
          <w:p>
            <w:r>
              <w:t>Autor del caso</w:t>
            </w:r>
          </w:p>
        </w:tc>
        <w:tc>
          <w:tcPr>
            <w:tcW w:type="dxa" w:w="3526"/>
          </w:tcPr>
          <w:p>
            <w:r>
              <w:t>Revisión de coherencia de septiembre. Deltas y verificación en docs/fase1-iso27001/correcciones_2026-09.md. Sin cambios en la fecha de corte.</w:t>
            </w:r>
          </w:p>
        </w:tc>
      </w:tr>
    </w:tbl>
    <w:p>
      <w:pPr>
        <w:spacing w:after="60" w:line="238"/>
        <w:jc w:val="both"/>
      </w:pPr>
      <w:r>
        <w:rPr>
          <w:rFonts w:ascii="Calibri" w:cs="Calibri" w:eastAsia="Calibri" w:hAnsi="Calibri"/>
          <w:b w:val="false"/>
          <w:bCs w:val="false"/>
          <w:i/>
          <w:iCs/>
          <w:color w:val="595959"/>
          <w:sz w:val="18"/>
          <w:szCs w:val="18"/>
        </w:rPr>
        <w:t xml:space="preserve">Este informe se lee desde el punto 1. La tabla de arriba está porque las normas del propio sistema la exigen (SGSI-DOC-002 §2); no hace falta leerla.</w:t>
      </w:r>
    </w:p>
    <w:p>
      <w:pPr>
        <w:pStyle w:val="Heading1"/>
        <w:spacing w:after="100" w:before="220"/>
      </w:pPr>
      <w:r>
        <w:rPr>
          <w:rFonts w:ascii="Calibri" w:cs="Calibri" w:eastAsia="Calibri" w:hAnsi="Calibri"/>
          <w:b/>
          <w:bCs/>
          <w:color w:val="1F1F1F"/>
          <w:sz w:val="24"/>
          <w:szCs w:val="24"/>
        </w:rPr>
        <w:t xml:space="preserve">1. Qué pasó</w:t>
      </w:r>
    </w:p>
    <w:p>
      <w:pPr>
        <w:spacing w:after="110" w:line="238"/>
        <w:jc w:val="both"/>
      </w:pPr>
      <w:r>
        <w:rPr>
          <w:rFonts w:ascii="Calibri" w:cs="Calibri" w:eastAsia="Calibri" w:hAnsi="Calibri"/>
          <w:b w:val="false"/>
          <w:bCs w:val="false"/>
          <w:i w:val="false"/>
          <w:iCs w:val="false"/>
          <w:sz w:val="20"/>
          <w:szCs w:val="20"/>
        </w:rPr>
        <w:t xml:space="preserve">El invierno pasado, alguien encargó a un intermediario local reunir información sobre esta familia. El intermediario no llamó a la puerta ni forzó nada: se dejó ver donde se mueve Cian, y fue Cian quien buscó el contacto. Durante semanas le fue contando rutinas, viajes y detalles de cómo está protegida la finca. Después alguien vino a comprobar sobre el terreno lo que le habían contado.</w:t>
      </w:r>
    </w:p>
    <w:p>
      <w:pPr>
        <w:spacing w:after="110" w:line="238"/>
        <w:jc w:val="both"/>
      </w:pPr>
      <w:r>
        <w:rPr>
          <w:rFonts w:ascii="Calibri" w:cs="Calibri" w:eastAsia="Calibri" w:hAnsi="Calibri"/>
          <w:b w:val="false"/>
          <w:bCs w:val="false"/>
          <w:i w:val="false"/>
          <w:iCs w:val="false"/>
          <w:sz w:val="20"/>
          <w:szCs w:val="20"/>
        </w:rPr>
        <w:t xml:space="preserve">No pasó nada. Y no pasó nada por suerte. Un miembro del servicio de seguridad reconoció un coche aparcado donde no debía, y semanas más tarde volvió a verlo en una foto que Cian había publicado. Ató los dos cabos él solo, de memoria.</w:t>
      </w:r>
    </w:p>
    <w:p>
      <w:pPr>
        <w:spacing w:after="110" w:line="238"/>
        <w:jc w:val="both"/>
      </w:pPr>
      <w:r>
        <w:rPr>
          <w:rFonts w:ascii="Calibri" w:cs="Calibri" w:eastAsia="Calibri" w:hAnsi="Calibri"/>
          <w:b w:val="false"/>
          <w:bCs w:val="false"/>
          <w:i w:val="false"/>
          <w:iCs w:val="false"/>
          <w:sz w:val="20"/>
          <w:szCs w:val="20"/>
        </w:rPr>
        <w:t xml:space="preserve">Esa es la parte que hay que entender: la casa se salvó porque esa persona estaba de servicio ese día y conocía ese coche y a quien lo llevaba. No lo sacó de una matrícula ni de una lista: lo sabía. Si hubiera librado, o si hubiera sido otro, nadie habría atado nada. Ninguna cámara, ninguna alarma y ningún antivirus habrían cortado esto, porque la información salió por un lado y el peligro entró por el otro. Ese hueco entre los dos lados es lo que este trabajo viene a cerrar.</w:t>
      </w:r>
    </w:p>
    <w:p>
      <w:pPr>
        <w:pStyle w:val="Heading1"/>
        <w:spacing w:after="100" w:before="220"/>
      </w:pPr>
      <w:r>
        <w:rPr>
          <w:rFonts w:ascii="Calibri" w:cs="Calibri" w:eastAsia="Calibri" w:hAnsi="Calibri"/>
          <w:b/>
          <w:bCs/>
          <w:color w:val="1F1F1F"/>
          <w:sz w:val="24"/>
          <w:szCs w:val="24"/>
        </w:rPr>
        <w:t xml:space="preserve">2. Qué se ha montado</w:t>
      </w:r>
    </w:p>
    <w:p>
      <w:pPr>
        <w:spacing w:after="110" w:line="238"/>
        <w:jc w:val="both"/>
      </w:pPr>
      <w:r>
        <w:rPr>
          <w:rFonts w:ascii="Calibri" w:cs="Calibri" w:eastAsia="Calibri" w:hAnsi="Calibri"/>
          <w:b w:val="false"/>
          <w:bCs w:val="false"/>
          <w:i w:val="false"/>
          <w:iCs w:val="false"/>
          <w:sz w:val="20"/>
          <w:szCs w:val="20"/>
        </w:rPr>
        <w:t xml:space="preserve">Un sistema de gestión de seguridad de la información conforme a la norma internacional ISO/IEC 27001, adaptado a una casa y a una familia, no a una oficina. En términos prácticos:</w:t>
      </w:r>
    </w:p>
    <w:p>
      <w:pPr>
        <w:pStyle w:val="ListParagraph"/>
        <w:numPr>
          <w:ilvl w:val="0"/>
          <w:numId w:val="1"/>
        </w:numPr>
        <w:spacing w:after="60" w:line="238"/>
        <w:jc w:val="both"/>
      </w:pPr>
      <w:r>
        <w:rPr>
          <w:rFonts w:ascii="Calibri" w:cs="Calibri" w:eastAsia="Calibri" w:hAnsi="Calibri"/>
          <w:sz w:val="20"/>
          <w:szCs w:val="20"/>
        </w:rPr>
        <w:t xml:space="preserve">Se han identificado y valorado 25 situaciones concretas que podrían hacer daño a esta familia, contadas como lo que son: secuencias de hechos encadenados, no listas de amenazas abstractas.</w:t>
      </w:r>
    </w:p>
    <w:p>
      <w:pPr>
        <w:pStyle w:val="ListParagraph"/>
        <w:numPr>
          <w:ilvl w:val="0"/>
          <w:numId w:val="1"/>
        </w:numPr>
        <w:spacing w:after="60" w:line="238"/>
        <w:jc w:val="both"/>
      </w:pPr>
      <w:r>
        <w:rPr>
          <w:rFonts w:ascii="Calibri" w:cs="Calibri" w:eastAsia="Calibri" w:hAnsi="Calibri"/>
          <w:sz w:val="20"/>
          <w:szCs w:val="20"/>
        </w:rPr>
        <w:t xml:space="preserve">Para cada una hay controles asignados: 64 en total, cada uno con un responsable designado, encuadrado en uno de los 16 planes de trabajo con su plazo, y con una periodicidad fijada para comprobar que sigue funcionando.</w:t>
      </w:r>
    </w:p>
    <w:p>
      <w:pPr>
        <w:pStyle w:val="ListParagraph"/>
        <w:numPr>
          <w:ilvl w:val="0"/>
          <w:numId w:val="1"/>
        </w:numPr>
        <w:spacing w:after="60" w:line="238"/>
        <w:jc w:val="both"/>
      </w:pPr>
      <w:r>
        <w:rPr>
          <w:rFonts w:ascii="Calibri" w:cs="Calibri" w:eastAsia="Calibri" w:hAnsi="Calibri"/>
          <w:sz w:val="20"/>
          <w:szCs w:val="20"/>
        </w:rPr>
        <w:t xml:space="preserve">Hay reglas escritas para lo que antes se hacía de memoria: verificación de órdenes de dinero, viajes, acceso de terceros a la casa, y qué se publica y cuándo.</w:t>
      </w:r>
    </w:p>
    <w:p>
      <w:pPr>
        <w:pStyle w:val="ListParagraph"/>
        <w:numPr>
          <w:ilvl w:val="0"/>
          <w:numId w:val="1"/>
        </w:numPr>
        <w:spacing w:after="60" w:line="238"/>
        <w:jc w:val="both"/>
      </w:pPr>
      <w:r>
        <w:rPr>
          <w:rFonts w:ascii="Calibri" w:cs="Calibri" w:eastAsia="Calibri" w:hAnsi="Calibri"/>
          <w:sz w:val="20"/>
          <w:szCs w:val="20"/>
        </w:rPr>
        <w:t xml:space="preserve">Y hay una regla que atraviesa todo el sistema: un riesgo grave no se considera resuelto si solo está cubierto por el lado físico o solo por el lado digital. Los dos, o no cuenta.</w:t>
      </w:r>
    </w:p>
    <w:p>
      <w:pPr>
        <w:spacing w:after="110" w:line="238"/>
        <w:jc w:val="both"/>
      </w:pPr>
      <w:r>
        <w:rPr>
          <w:rFonts w:ascii="Calibri" w:cs="Calibri" w:eastAsia="Calibri" w:hAnsi="Calibri"/>
          <w:b w:val="false"/>
          <w:bCs w:val="false"/>
          <w:i w:val="false"/>
          <w:iCs w:val="false"/>
          <w:sz w:val="20"/>
          <w:szCs w:val="20"/>
        </w:rPr>
        <w:t>Esa última regla es la respuesta directa a lo que pasó. También es la que ha obligado a rehacer parte del trabajo: al comprobarla sobre la lista completa aparecieron nueve riesgos cubiertos solo por un lado. Siete se han arreglado añadiendo la medida que faltaba. Los otros dos no: hay que replantear cómo se tratan, y están anotados con responsable y fecha en lugar de darlos por buenos.</w:t>
      </w:r>
    </w:p>
    <w:p>
      <w:pPr>
        <w:pStyle w:val="Heading1"/>
        <w:spacing w:after="100" w:before="220"/>
      </w:pPr>
      <w:r>
        <w:rPr>
          <w:rFonts w:ascii="Calibri" w:cs="Calibri" w:eastAsia="Calibri" w:hAnsi="Calibri"/>
          <w:b/>
          <w:bCs/>
          <w:color w:val="1F1F1F"/>
          <w:sz w:val="24"/>
          <w:szCs w:val="24"/>
        </w:rPr>
        <w:t xml:space="preserve">3. Lo que más va a sorprender</w:t>
      </w:r>
    </w:p>
    <w:p>
      <w:pPr>
        <w:spacing w:after="110" w:line="238"/>
        <w:jc w:val="both"/>
      </w:pPr>
      <w:r>
        <w:rPr>
          <w:rFonts w:ascii="Calibri" w:cs="Calibri" w:eastAsia="Calibri" w:hAnsi="Calibri"/>
          <w:b w:val="false"/>
          <w:bCs w:val="false"/>
          <w:i w:val="false"/>
          <w:iCs w:val="false"/>
          <w:sz w:val="20"/>
          <w:szCs w:val="20"/>
        </w:rPr>
        <w:t xml:space="preserve">Al principio la lista de riesgos estaba escrita pensando en un enemigo: alguien que ataca. Después se revisó con el jefe de seguridad, mirando lo que pasa un martes cualquiera. Y la lista cambió de forma.</w:t>
      </w:r>
    </w:p>
    <w:p>
      <w:pPr>
        <w:spacing w:after="110" w:line="238"/>
        <w:jc w:val="both"/>
      </w:pPr>
      <w:r>
        <w:rPr>
          <w:rFonts w:ascii="Calibri" w:cs="Calibri" w:eastAsia="Calibri" w:hAnsi="Calibri"/>
          <w:b/>
          <w:bCs/>
          <w:i w:val="false"/>
          <w:iCs w:val="false"/>
          <w:sz w:val="20"/>
          <w:szCs w:val="20"/>
        </w:rPr>
        <w:t xml:space="preserve">Hoy, de los tres riesgos que encabezan la lista de esta casa, dos no tienen a nadie atacando en el origen. Uno de ellos, empatado con lo que pasó el invierno pasado, es sencillamente que la casa no se cierra bien: la alarma que no se conecta al salir, la ronda que se descuida en una conversación larga, la puerta de servicio que queda abierta. El otro es que los chicos meten en casa a quien les parece sin que nadie lo sepa antes.</w:t>
      </w:r>
    </w:p>
    <w:p>
      <w:pPr>
        <w:spacing w:after="110" w:line="238"/>
        <w:jc w:val="both"/>
      </w:pPr>
      <w:r>
        <w:rPr>
          <w:rFonts w:ascii="Calibri" w:cs="Calibri" w:eastAsia="Calibri" w:hAnsi="Calibri"/>
          <w:b w:val="false"/>
          <w:bCs w:val="false"/>
          <w:i w:val="false"/>
          <w:iCs w:val="false"/>
          <w:sz w:val="20"/>
          <w:szCs w:val="20"/>
        </w:rPr>
        <w:t xml:space="preserve">No es una crítica al personal: es lo que pasa cuando algo lleva años haciéndose por costumbre y nadie apunta si se hizo. Un control contratado que no se ejecuta protege exactamente igual que uno que no existe, y esta casa tiene varios así.</w:t>
      </w:r>
    </w:p>
    <w:p>
      <w:pPr>
        <w:pStyle w:val="Heading1"/>
        <w:spacing w:after="100" w:before="220"/>
      </w:pPr>
      <w:r>
        <w:rPr>
          <w:rFonts w:ascii="Calibri" w:cs="Calibri" w:eastAsia="Calibri" w:hAnsi="Calibri"/>
          <w:b/>
          <w:bCs/>
          <w:color w:val="1F1F1F"/>
          <w:sz w:val="24"/>
          <w:szCs w:val="24"/>
        </w:rPr>
        <w:t xml:space="preserve">4. Qué cambia para la familia</w:t>
      </w:r>
    </w:p>
    <w:p>
      <w:pPr>
        <w:spacing w:after="110" w:line="238"/>
        <w:jc w:val="both"/>
      </w:pPr>
      <w:r>
        <w:rPr>
          <w:rFonts w:ascii="Calibri" w:cs="Calibri" w:eastAsia="Calibri" w:hAnsi="Calibri"/>
          <w:b w:val="false"/>
          <w:bCs w:val="false"/>
          <w:i w:val="false"/>
          <w:iCs w:val="false"/>
          <w:sz w:val="20"/>
          <w:szCs w:val="20"/>
        </w:rPr>
        <w:t xml:space="preserve">Lo mínimo posible, y por decisión expresa. Un sistema que obliga a vivir de otra manera no se cumple: se incumple a escondidas, que es peor. Lo que sí cambia:</w:t>
      </w:r>
    </w:p>
    <w:p>
      <w:pPr>
        <w:pStyle w:val="ListParagraph"/>
        <w:numPr>
          <w:ilvl w:val="0"/>
          <w:numId w:val="1"/>
        </w:numPr>
        <w:spacing w:after="60" w:line="238"/>
        <w:jc w:val="both"/>
      </w:pPr>
      <w:r>
        <w:rPr>
          <w:rFonts w:ascii="Calibri" w:cs="Calibri" w:eastAsia="Calibri" w:hAnsi="Calibri"/>
          <w:sz w:val="20"/>
          <w:szCs w:val="20"/>
        </w:rPr>
        <w:t xml:space="preserve">Redes sociales: no se prohíbe publicar. Se publica después de haber salido del sitio. La foto es la misma; lo que se le quita es el valor de decirle a alguien dónde estáis ahora mismo.</w:t>
      </w:r>
    </w:p>
    <w:p>
      <w:pPr>
        <w:pStyle w:val="ListParagraph"/>
        <w:numPr>
          <w:ilvl w:val="0"/>
          <w:numId w:val="1"/>
        </w:numPr>
        <w:spacing w:after="60" w:line="238"/>
        <w:jc w:val="both"/>
      </w:pPr>
      <w:r>
        <w:rPr>
          <w:rFonts w:ascii="Calibri" w:cs="Calibri" w:eastAsia="Calibri" w:hAnsi="Calibri"/>
          <w:sz w:val="20"/>
          <w:szCs w:val="20"/>
        </w:rPr>
        <w:t xml:space="preserve">Invitados en casa: aviso previo del nombre, y una zona social definida donde no se ve el sistema de seguridad. Nada de firmar papeles ni identificar a los amigos de los chicos en la puerta.</w:t>
      </w:r>
    </w:p>
    <w:p>
      <w:pPr>
        <w:pStyle w:val="ListParagraph"/>
        <w:numPr>
          <w:ilvl w:val="0"/>
          <w:numId w:val="1"/>
        </w:numPr>
        <w:spacing w:after="60" w:line="238"/>
        <w:jc w:val="both"/>
      </w:pPr>
      <w:r>
        <w:rPr>
          <w:rFonts w:ascii="Calibri" w:cs="Calibri" w:eastAsia="Calibri" w:hAnsi="Calibri"/>
          <w:sz w:val="20"/>
          <w:szCs w:val="20"/>
        </w:rPr>
        <w:t>Dinero: ninguna orden se ejecuta solo porque alguien la pida por teléfono, ni siquiera si esa voz es la suya. Hoy hay cientos de horas de su voz en internet y clonarla es cuestión de minutos. Está prevista la comunicación a los bancos por escrito.</w:t>
      </w:r>
    </w:p>
    <w:p>
      <w:pPr>
        <w:pStyle w:val="ListParagraph"/>
        <w:numPr>
          <w:ilvl w:val="0"/>
          <w:numId w:val="1"/>
        </w:numPr>
        <w:spacing w:after="60" w:line="238"/>
        <w:jc w:val="both"/>
      </w:pPr>
      <w:r>
        <w:rPr>
          <w:rFonts w:ascii="Calibri" w:cs="Calibri" w:eastAsia="Calibri" w:hAnsi="Calibri"/>
          <w:sz w:val="20"/>
          <w:szCs w:val="20"/>
        </w:rPr>
        <w:t xml:space="preserve">Viajes: la ficha del destino se hace antes de reservar, no después.</w:t>
      </w:r>
    </w:p>
    <w:p>
      <w:pPr>
        <w:spacing w:after="110" w:line="238"/>
        <w:jc w:val="both"/>
      </w:pPr>
      <w:r>
        <w:rPr>
          <w:rFonts w:ascii="Calibri" w:cs="Calibri" w:eastAsia="Calibri" w:hAnsi="Calibri"/>
          <w:b w:val="false"/>
          <w:bCs w:val="false"/>
          <w:i w:val="false"/>
          <w:iCs w:val="false"/>
          <w:sz w:val="20"/>
          <w:szCs w:val="20"/>
        </w:rPr>
        <w:t xml:space="preserve">Todo lo que afecta a la familia se acuerda con la representante de la propiedad y se habla en persona, nunca por circular. Ese papel está formalizado en el sistema, con sus competencias y sus límites por escrito.</w:t>
      </w:r>
    </w:p>
    <w:p>
      <w:pPr>
        <w:pStyle w:val="Heading1"/>
        <w:spacing w:after="100" w:before="220"/>
      </w:pPr>
      <w:r>
        <w:rPr>
          <w:rFonts w:ascii="Calibri" w:cs="Calibri" w:eastAsia="Calibri" w:hAnsi="Calibri"/>
          <w:b/>
          <w:bCs/>
          <w:color w:val="1F1F1F"/>
          <w:sz w:val="24"/>
          <w:szCs w:val="24"/>
        </w:rPr>
        <w:t xml:space="preserve">5. Lo que todavía no está hecho</w:t>
      </w:r>
    </w:p>
    <w:p>
      <w:pPr>
        <w:spacing w:after="110" w:line="238"/>
        <w:jc w:val="both"/>
      </w:pPr>
      <w:r>
        <w:rPr>
          <w:rFonts w:ascii="Calibri" w:cs="Calibri" w:eastAsia="Calibri" w:hAnsi="Calibri"/>
          <w:b w:val="false"/>
          <w:bCs w:val="false"/>
          <w:i w:val="false"/>
          <w:iCs w:val="false"/>
          <w:sz w:val="20"/>
          <w:szCs w:val="20"/>
        </w:rPr>
        <w:t xml:space="preserve">Este informe cierra el diseño, no la implantación. A día de hoy ningún control del plan está terminado y funcionando con registro de que se ejecuta. Es lo normal a estas alturas, pero conviene decirlo claro para que nadie se quede con la impresión de que ya está resuelto.</w:t>
      </w:r>
    </w:p>
    <w:p>
      <w:pPr>
        <w:spacing w:after="110" w:line="238"/>
        <w:jc w:val="both"/>
      </w:pPr>
      <w:r>
        <w:rPr>
          <w:rFonts w:ascii="Calibri" w:cs="Calibri" w:eastAsia="Calibri" w:hAnsi="Calibri"/>
          <w:b w:val="false"/>
          <w:bCs w:val="false"/>
          <w:i w:val="false"/>
          <w:iCs w:val="false"/>
          <w:sz w:val="20"/>
          <w:szCs w:val="20"/>
        </w:rPr>
        <w:t xml:space="preserve">Hay 16 planes de trabajo aprobados, con plazos de entre dos y seis meses; cuatro han empezado y doce arrancan al aprobarse este informe. Los dos primeros, a dos meses, tapan lo que no depende de nadie de fuera: el cierre diario de la casa y las recogidas de la familia. A tres meses, el control del dinero en efectivo y lo que sale de casa en los viajes. Lo que rodea a Cian se cierra a cuatro y a seis meses, y no por ser menos importante: son acuerdos que hay que negociar con él y con sus hermanos, y negociarlos deprisa es la forma más segura de que no se cumplan. La primera auditoría, que la hará alguien de fuera, está prevista para el primer semestre de 2027.</w:t>
      </w:r>
    </w:p>
    <w:p>
      <w:pPr>
        <w:spacing w:after="110" w:line="238"/>
        <w:jc w:val="both"/>
      </w:pPr>
      <w:r>
        <w:rPr>
          <w:rFonts w:ascii="Calibri" w:cs="Calibri" w:eastAsia="Calibri" w:hAnsi="Calibri"/>
          <w:b w:val="false"/>
          <w:bCs w:val="false"/>
          <w:i w:val="false"/>
          <w:iCs w:val="false"/>
          <w:sz w:val="20"/>
          <w:szCs w:val="20"/>
        </w:rPr>
        <w:t xml:space="preserve">También hay seis fallos del propio diseño detectados y anotados, en lugar de escondidos: cuatro siguen abiertos, con responsable y fecha, y dos se cerraron en la misma sesión en la que se detectaron. Uno de ellos es que dos riesgos siguen sin estar cubiertos por los dos lados. Un sistema que sale perfecto a la primera es un sistema que nadie ha comprobado.</w:t>
      </w:r>
    </w:p>
    <w:p>
      <w:pPr>
        <w:pStyle w:val="Heading1"/>
        <w:spacing w:after="100" w:before="220"/>
      </w:pPr>
      <w:r>
        <w:rPr>
          <w:rFonts w:ascii="Calibri" w:cs="Calibri" w:eastAsia="Calibri" w:hAnsi="Calibri"/>
          <w:b/>
          <w:bCs/>
          <w:color w:val="1F1F1F"/>
          <w:sz w:val="24"/>
          <w:szCs w:val="24"/>
        </w:rPr>
        <w:t xml:space="preserve">6. Qué se le pide a usted</w:t>
      </w:r>
    </w:p>
    <w:p>
      <w:pPr>
        <w:spacing w:after="110" w:line="238"/>
        <w:jc w:val="both"/>
      </w:pPr>
      <w:r>
        <w:rPr>
          <w:rFonts w:ascii="Calibri" w:cs="Calibri" w:eastAsia="Calibri" w:hAnsi="Calibri"/>
          <w:b w:val="false"/>
          <w:bCs w:val="false"/>
          <w:i w:val="false"/>
          <w:iCs w:val="false"/>
          <w:sz w:val="20"/>
          <w:szCs w:val="20"/>
        </w:rPr>
        <w:t xml:space="preserve">Cinco cosas, y ninguna es papeleo:</w:t>
      </w:r>
    </w:p>
    <w:p>
      <w:pPr>
        <w:pStyle w:val="ListParagraph"/>
        <w:numPr>
          <w:ilvl w:val="0"/>
          <w:numId w:val="1"/>
        </w:numPr>
        <w:spacing w:after="60" w:line="238"/>
        <w:jc w:val="both"/>
      </w:pPr>
      <w:r>
        <w:rPr>
          <w:rFonts w:ascii="Calibri" w:cs="Calibri" w:eastAsia="Calibri" w:hAnsi="Calibri"/>
          <w:sz w:val="20"/>
          <w:szCs w:val="20"/>
        </w:rPr>
        <w:t xml:space="preserve">Que mantenga lo que ya firmó: la declaración de una página. Es el documento que sostiene todo lo demás.</w:t>
      </w:r>
    </w:p>
    <w:p>
      <w:pPr>
        <w:pStyle w:val="ListParagraph"/>
        <w:numPr>
          <w:ilvl w:val="0"/>
          <w:numId w:val="1"/>
        </w:numPr>
        <w:spacing w:after="60" w:line="238"/>
        <w:jc w:val="both"/>
      </w:pPr>
      <w:r>
        <w:rPr>
          <w:rFonts w:ascii="Calibri" w:cs="Calibri" w:eastAsia="Calibri" w:hAnsi="Calibri"/>
          <w:sz w:val="20"/>
          <w:szCs w:val="20"/>
        </w:rPr>
        <w:t xml:space="preserve">Que la comunique usted en persona al personal y a la gente de su confianza. Aquí la autoridad que se reconoce es la suya, no la de un procedimiento.</w:t>
      </w:r>
    </w:p>
    <w:p>
      <w:pPr>
        <w:pStyle w:val="ListParagraph"/>
        <w:numPr>
          <w:ilvl w:val="0"/>
          <w:numId w:val="1"/>
        </w:numPr>
        <w:spacing w:after="60" w:line="238"/>
        <w:jc w:val="both"/>
      </w:pPr>
      <w:r>
        <w:rPr>
          <w:rFonts w:ascii="Calibri" w:cs="Calibri" w:eastAsia="Calibri" w:hAnsi="Calibri"/>
          <w:sz w:val="20"/>
          <w:szCs w:val="20"/>
        </w:rPr>
        <w:t xml:space="preserve">Que cumpla las reglas también usted. La primera vez que se salte una delante de alguien, el sistema se acaba.</w:t>
      </w:r>
    </w:p>
    <w:p>
      <w:pPr>
        <w:pStyle w:val="ListParagraph"/>
        <w:numPr>
          <w:ilvl w:val="0"/>
          <w:numId w:val="1"/>
        </w:numPr>
        <w:spacing w:after="60" w:line="238"/>
        <w:jc w:val="both"/>
      </w:pPr>
      <w:r>
        <w:rPr>
          <w:rFonts w:ascii="Calibri" w:cs="Calibri" w:eastAsia="Calibri" w:hAnsi="Calibri"/>
          <w:sz w:val="20"/>
          <w:szCs w:val="20"/>
        </w:rPr>
        <w:t xml:space="preserve">Que respalde formalmente lo que queda sin resolver. Cada uno de esos riesgos lo acepta por escrito el responsable que lo tiene asignado, y el Comité lo ratifica; lo que se le pide a usted es sostener esa cadena, no firmar en su lugar. Doce de los dieciséis planes dejan un riesgo residual alto incluso una vez terminados, porque cuando lo que está en juego son personas ningún control baja el daño posible a cero. Lo que se reduce es la probabilidad de que ocurra, y eso está cuantificado.</w:t>
      </w:r>
    </w:p>
    <w:p>
      <w:pPr>
        <w:pStyle w:val="ListParagraph"/>
        <w:numPr>
          <w:ilvl w:val="0"/>
          <w:numId w:val="1"/>
        </w:numPr>
        <w:spacing w:after="60" w:line="238"/>
        <w:jc w:val="both"/>
      </w:pPr>
      <w:r>
        <w:rPr>
          <w:rFonts w:ascii="Calibri" w:cs="Calibri" w:eastAsia="Calibri" w:hAnsi="Calibri"/>
          <w:sz w:val="20"/>
          <w:szCs w:val="20"/>
        </w:rPr>
        <w:t xml:space="preserve">Que dedique una reunión al año a esto, en julio. Una. Con el resumen delante y la posibilidad de preguntar lo que quiera.</w:t>
      </w:r>
    </w:p>
    <w:p>
      <w:pPr>
        <w:pBdr>
          <w:top w:val="single" w:color="BFBFBF" w:sz="4" w:space="8"/>
        </w:pBdr>
        <w:spacing w:after="0" w:before="280"/>
      </w:pPr>
      <w:r>
        <w:rPr>
          <w:sz w:val="2"/>
          <w:szCs w:val="2"/>
        </w:rPr>
        <w:t xml:space="preserve"/>
      </w:r>
    </w:p>
    <w:p>
      <w:pPr>
        <w:spacing w:after="0" w:line="238"/>
        <w:jc w:val="both"/>
      </w:pPr>
      <w:r>
        <w:rPr>
          <w:rFonts w:ascii="Calibri" w:cs="Calibri" w:eastAsia="Calibri" w:hAnsi="Calibri"/>
          <w:b w:val="false"/>
          <w:bCs w:val="false"/>
          <w:i/>
          <w:iCs/>
          <w:color w:val="595959"/>
          <w:sz w:val="17"/>
          <w:szCs w:val="17"/>
        </w:rPr>
        <w:t xml:space="preserve">Documento de referencia completo: SGSI-REG-001/002 (lista de riesgos y planes) y SGSI-DOC-010 (cómo se revisa y se audita el sistema). Este informe es la entrada de la revisión anual con la propiedad prevista en SGSI-DOC-010 §3.</w:t>
      </w:r>
    </w:p>
    <w:sectPr>
      <w:headerReference w:type="default" r:id="rId7"/>
      <w:footerReference w:type="default" r:id="rId8"/>
      <w:pgSz w:w="11906" w:h="16838" w:orient="portrait"/>
      <w:pgMar w:top="1150" w:right="1440" w:bottom="10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Clasificación: Confidencial</w:t>
      <w:tab/>
      <w:t>SGSI-INF-001 v1.6</w:t>
      <w:tab/>
      <w:t xml:space="preserve">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left"/>
    </w:pPr>
    <w:r>
      <w:rPr>
        <w:rFonts w:ascii="Calibri" w:cs="Calibri" w:eastAsia="Calibri" w:hAnsi="Calibri"/>
        <w:color w:val="595959"/>
        <w:sz w:val="15"/>
        <w:szCs w:val="15"/>
      </w:rPr>
      <w:t xml:space="preserve">Atalaya Gestión Patrimonial SL — Sistema de Gestión de Seguridad de la Información	SGSI-INF-001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2026-08-08T15:44:30.568Z</dcterms:created>
  <dcterms:modified xsi:type="dcterms:W3CDTF">2026-08-08T15:44:30.568Z</dcterms:modified>
</cp:coreProperties>
</file>

<file path=docProps/custom.xml><?xml version="1.0" encoding="utf-8"?>
<Properties xmlns="http://schemas.openxmlformats.org/officeDocument/2006/custom-properties" xmlns:vt="http://schemas.openxmlformats.org/officeDocument/2006/docPropsVTypes"/>
</file>