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264F3C"/>
          <w:sz w:val="36"/>
        </w:rPr>
        <w:t>Semantic Search Evaluation</w:t>
      </w:r>
    </w:p>
    <w:p>
      <w:pPr>
        <w:jc w:val="center"/>
      </w:pPr>
      <w:r>
        <w:rPr>
          <w:rFonts w:ascii="Noto Sans TC" w:hAnsi="Noto Sans TC" w:eastAsia="Noto Sans TC"/>
          <w:b/>
          <w:color w:val="39775B"/>
          <w:sz w:val="32"/>
        </w:rPr>
        <w:t>語意搜尋評估</w:t>
      </w:r>
    </w:p>
    <w:p>
      <w:pPr>
        <w:jc w:val="center"/>
      </w:pPr>
      <w:r>
        <w:rPr>
          <w:rFonts w:ascii="Noto Sans TC" w:hAnsi="Noto Sans TC" w:eastAsia="Noto Sans TC"/>
          <w:b w:val="0"/>
          <w:color w:val="718078"/>
          <w:sz w:val="20"/>
        </w:rPr>
        <w:t>Zheng, Wang, Zhang, Kishore &amp; Singh · arXiv:2410.21549v1 [cs.IR] (28 Oct 2024)</w:t>
      </w:r>
    </w:p>
    <w:p>
      <w:pPr>
        <w:shd w:val="clear" w:color="auto" w:fill="DCE9F5"/>
      </w:pPr>
      <w:r>
        <w:rPr>
          <w:rFonts w:ascii="Noto Sans TC" w:hAnsi="Noto Sans TC" w:eastAsia="Noto Sans TC"/>
          <w:b/>
          <w:color w:val="264F3C"/>
          <w:sz w:val="21"/>
        </w:rPr>
        <w:t xml:space="preserve">▶ 閱讀說明　</w:t>
      </w:r>
      <w:r>
        <w:rPr>
          <w:rFonts w:ascii="Noto Sans TC" w:hAnsi="Noto Sans TC" w:eastAsia="Noto Sans TC"/>
          <w:b w:val="0"/>
          <w:color w:val="264F3C"/>
          <w:sz w:val="21"/>
        </w:rPr>
        <w:t>口語研讀摘要：用「為什麼值得看、提出什麼、證據是什麼、和我的研究有何關係、還要核對什麼」的順序整理，格式比照 A13 研讀摘要。</w:t>
      </w:r>
    </w:p>
    <w:p>
      <w:pPr>
        <w:jc w:val="center"/>
      </w:pPr>
      <w:r>
        <w:rPr>
          <w:rFonts w:ascii="Noto Sans TC" w:hAnsi="Noto Sans TC" w:eastAsia="Noto Sans TC"/>
          <w:b w:val="0"/>
          <w:color w:val="718078"/>
          <w:sz w:val="19"/>
        </w:rPr>
        <w:t>羅靜娟｜論文研讀庫 A12</w:t>
      </w:r>
    </w:p>
    <w:p/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先講結論</w:t>
      </w:r>
    </w:p>
    <w:p>
      <w:pPr>
        <w:spacing w:after="120"/>
      </w:pPr>
      <w:r>
        <w:rPr>
          <w:rFonts w:ascii="Noto Sans TC" w:hAnsi="Noto Sans TC" w:eastAsia="Noto Sans TC"/>
          <w:b w:val="0"/>
          <w:color w:val="333D37"/>
          <w:sz w:val="21"/>
        </w:rPr>
        <w:t>這篇論文的價值不在學術嚴謹度——它是 arXiv 預印本，未經同儕審查，PDF 本文完全沒有寫任何期刊或會議名稱——而在提供一份「LinkedIn 真實生產環境如何做語意相關性評估」的實務範本：定義黃金查詢集、跑 LLM 判斷切題與否、算出 on-topic rate，並用人工標註與驗證集雙軌驗證。它最有價值的貢獻是一個現成的教科書級例證：查詢「promotion tips」配到一篇談自我推銷的貼文，關鍵字命中但語意不合，被判定離題——這正好示範「關鍵字檢索會漏接語意」的失敗模式。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這篇為什麼值得看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它是少數公開、可讀到完整 prompt 設計邏輯的工業界語意評估案例（LinkedIn 內容搜尋團隊）。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on-topic rate 指標設計簡單、可操作，可直接對照本研究「答案正確率」指標的操作型定義。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Table 3、Table 4 提供「關鍵字比對 vs 語意判斷」給出不同答案的具體案例，是本研究核心論點的現成佐證。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它到底提出什麼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提出 on-topic rate（切題率）：衡量 &lt;query, doc&gt; 配對是否語意相關的二元指標，取前 K 筆結果平均即 OTR@K。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提出四步驟管線：建查詢集（黃金集＋開放集）→ 取每題前 K=10 筆結果 → 組 prompt 呼叫 GPT-3.5 → 依二元判定與相關性分數（門檻 0.5）算 OTR。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兩版 prompt 對照實驗：Prompt B（問「是否主要在講這個主題」）顯著優於 Prompt A（只問「是否強相關」），因為前者能排除關鍵字命中但主題不合的偽陽性。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證據與方法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人工評估：10 人團隊，每人標 50 組（共 500 組），另有嚴謹資格審核流程；與 GAI 判定一致率 81.72%。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驗證集：60 題×10 篇貼文＝600 組配對，至少 3 人共識標註；目前線上 prompt 準確率 94.5%。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黃金查詢集分兩型：短關鍵字題（covid-19、resume…）與長句意圖題（how do I negotiate my salary…），原文明講長句題評估挑戰較大。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和 Tarshar 的知識管理／語意搜尋研究有什麼關係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on-topic rate 的判定邏輯（語意匹配優於關鍵字比對）直接支持本研究「語意向量檢索優於關鍵字搜尋」的核心假設。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它的黃金查詢集（短關鍵字＋長句意圖兩型）設計邏輯，是本研究 30 題題庫「事實題／語意改寫題」分類的參考依據。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Table 3 的教科書級例證，可直接借用來說明「關鍵字命中但答非所問」這個情境。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這篇的三個硬傷（主動指出，代表讀得夠細）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沒有 Limitations 章節——從結論直接跳到參考文獻，全文沒有任何自我設限。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沒有任何統計——無檢定、無信賴區間、無 inter-rater 係數（只有一句「a high degree of agreement」，沒有 kappa、沒說樣本幾組）。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兩處文字瑕疵：p.2 說 prompt 涵蓋「three perspectives」卻列了四項；p.3–4 說標註是「three-step」卻只列出兩步。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限制與不能過度推論的地方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arXiv 預印本，PDF 本文未載明任何期刊或會議名稱；CIKM 2024 workshop 這件事只出現在 arXiv 摘要頁 Comments 欄（作者自填），審查強度遠低於主軌，是 workshop 而非主軌論文。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樣本規模不大：驗證集僅 600 組配對、人工評估僅 500 組（10 人 × 50 組），遠小於學術論文常見樣本數。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未載明黃金查詢集題數與抽樣方法——本研究的「30 題」在這裡找不到規模依據，需另找文獻或自行說明理由。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僅一句「高度一致」而無信度係數，不能拿來當「單人評分沒關係」的擋箭牌——本研究仍需第二位評分者並報告 Cohen's kappa。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引用前要回原文核對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81.72%、94.5% 這兩個數字：回到 §5.1、§5.2 原文脈絡，注意樣本規模（10 人 50 組、600 組配對）。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Prompt A/B 案例：回到 Table 4（p.6）與附錄 A，三組案例的查詢與貼文全文。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「CIKM 2024 workshop」：只在 arXiv 摘要頁 Comments 欄出現，PDF 正文完全沒有寫明，引用時要交代這個限定，不可寫成「發表於 CIKM 2024」。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建議放進自己論文的位置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第二章｜文獻回顧：作為「語意相關性評估在工業界怎麼做」的實務案例，與 A09（學術系統性回顧）互補。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第三章｜評估設計：on-topic rate 的判定邏輯是本研究六項指標中「答案正確率」的直接參照；黃金查詢集分型邏輯可轉用為 30 題題庫設計依據。</w:t>
      </w:r>
    </w:p>
    <w:p>
      <w:pPr>
        <w:spacing w:after="80"/>
        <w:ind w:left="283"/>
      </w:pPr>
      <w:r>
        <w:rPr>
          <w:rFonts w:ascii="Noto Sans TC" w:hAnsi="Noto Sans TC" w:eastAsia="Noto Sans TC"/>
          <w:b w:val="0"/>
          <w:color w:val="333D37"/>
          <w:sz w:val="21"/>
        </w:rPr>
        <w:t>• 討論章｜方法學反思：借它的評估流程，不引它的結論當證據（因為未經同儕審查）；用「有 kappa」超越它「僅一句高度一致」的方法學弱點。</w:t>
      </w:r>
    </w:p>
    <w:p>
      <w:pPr>
        <w:shd w:val="clear" w:color="auto" w:fill="264F3C"/>
        <w:spacing w:before="200" w:after="120"/>
      </w:pPr>
      <w:r>
        <w:rPr>
          <w:rFonts w:ascii="Noto Sans TC" w:hAnsi="Noto Sans TC" w:eastAsia="Noto Sans TC"/>
          <w:b/>
          <w:color w:val="FFFFFF"/>
          <w:sz w:val="25"/>
        </w:rPr>
        <w:t xml:space="preserve">  正式書目</w:t>
      </w:r>
    </w:p>
    <w:p>
      <w:pPr>
        <w:spacing w:after="120"/>
      </w:pPr>
      <w:r>
        <w:rPr>
          <w:rFonts w:ascii="Noto Sans TC" w:hAnsi="Noto Sans TC" w:eastAsia="Noto Sans TC"/>
          <w:b w:val="0"/>
          <w:color w:val="333D37"/>
          <w:sz w:val="21"/>
        </w:rPr>
        <w:t>Zheng, C., Wang, J., Zhang, S. A., Kishore, A., &amp; Singh, S. (2024). Semantic search evaluation. arXiv preprint arXiv:2410.21549.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