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center"/>
      </w:pPr>
      <w:r>
        <w:rPr>
          <w:rFonts w:ascii="Times New Roman" w:hAnsi="Times New Roman" w:eastAsia="Times New Roman"/>
          <w:b/>
          <w:color w:val="1A5276"/>
          <w:sz w:val="44"/>
        </w:rPr>
        <w:t>The Vocabulary Problem in Human-System</w:t>
        <w:br/>
        <w:t>Communication</w:t>
      </w:r>
    </w:p>
    <w:p>
      <w:pPr>
        <w:jc w:val="center"/>
      </w:pPr>
      <w:r>
        <w:rPr>
          <w:rFonts w:ascii="Noto Sans CJK TC" w:hAnsi="Noto Sans CJK TC" w:eastAsia="Noto Sans CJK TC"/>
          <w:b/>
          <w:color w:val="1A5276"/>
          <w:sz w:val="36"/>
        </w:rPr>
        <w:t>人機系統溝通中的詞彙問題</w:t>
      </w:r>
    </w:p>
    <w:p>
      <w:pPr>
        <w:jc w:val="center"/>
      </w:pPr>
      <w:r>
        <w:rPr>
          <w:rFonts w:ascii="Times New Roman" w:hAnsi="Times New Roman" w:eastAsia="Times New Roman"/>
          <w:color w:val="666666"/>
          <w:sz w:val="20"/>
        </w:rPr>
        <w:t>G. W. Furnas, T. K. Landauer, L. M. Gomez, S. T. Dumais</w:t>
        <w:br/>
        <w:t>Communications of the ACM 30(11), 964–971 (1987)</w:t>
        <w:br/>
        <w:t>DOI: 10.1145/32206.32212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432"/>
            <w:vAlign w:val="center"/>
            <w:shd w:fill="EAF4FB"/>
            <w:tcBorders>
              <w:left w:val="single" w:sz="18" w:color="1A5276"/>
              <w:top w:val="single" w:sz="4" w:color="85C1E9"/>
              <w:bottom w:val="single" w:sz="4" w:color="85C1E9"/>
              <w:right w:val="single" w:sz="4" w:color="85C1E9"/>
            </w:tcBorders>
          </w:tcPr>
          <w:p>
            <w:pPr>
              <w:spacing w:before="40" w:after="40" w:line="252" w:lineRule="auto"/>
            </w:pPr>
            <w:r>
              <w:rPr>
                <w:rFonts w:ascii="Noto Sans CJK TC" w:hAnsi="Noto Sans CJK TC" w:eastAsia="Noto Sans CJK TC"/>
                <w:b/>
                <w:color w:val="1A5276"/>
                <w:sz w:val="18"/>
              </w:rPr>
              <w:t xml:space="preserve">▶ 閱讀說明　</w:t>
            </w:r>
            <w:r>
              <w:rPr>
                <w:rFonts w:ascii="Noto Sans CJK TC" w:hAnsi="Noto Sans CJK TC" w:eastAsia="Noto Sans CJK TC"/>
                <w:color w:val="1A5276"/>
                <w:sz w:val="20"/>
              </w:rPr>
              <w:t>口語研讀摘要：用「為什麼值得看、提出什麼、證據是什麼、和我的研究有何關係、還要核對什麼」的順序整理。</w:t>
            </w:r>
          </w:p>
        </w:tc>
      </w:tr>
    </w:tbl>
    <w:p>
      <w:pPr>
        <w:spacing w:after="20" w:before="0"/>
      </w:pPr>
    </w:p>
    <w:p>
      <w:pPr>
        <w:jc w:val="center"/>
      </w:pPr>
      <w:r>
        <w:rPr>
          <w:rFonts w:ascii="Noto Sans CJK TC" w:hAnsi="Noto Sans CJK TC" w:eastAsia="Noto Sans CJK TC"/>
          <w:color w:val="888888"/>
          <w:sz w:val="18"/>
        </w:rPr>
        <w:t>羅靜娟｜論文研讀庫 A13</w:t>
      </w:r>
    </w:p>
    <w:p>
      <w:r>
        <w:br w:type="page"/>
      </w:r>
    </w:p>
    <w:p>
      <w:pPr>
        <w:keepNext/>
        <w:spacing w:before="180" w:after="120"/>
        <w:shd w:fill="1A5276"/>
      </w:pPr>
      <w:r>
        <w:rPr>
          <w:rFonts w:ascii="Noto Sans CJK TC" w:hAnsi="Noto Sans CJK TC" w:eastAsia="Noto Sans CJK TC"/>
          <w:b/>
          <w:color w:val="FFFFFF"/>
          <w:sz w:val="26"/>
        </w:rPr>
        <w:t>先講結論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這篇論文最重要的提醒是：使用者不是『不會搜尋』，而是人本來就會用非常不同的詞描述同一件事。若系統只接受設計者想到的少數名稱，第一次存取很容易失敗；改善方向是累積大量別名、按實際使用頻率加權，並在模糊時讓使用者消歧義。</w:t>
      </w:r>
    </w:p>
    <w:p>
      <w:pPr>
        <w:keepNext/>
        <w:spacing w:before="180" w:after="120"/>
        <w:shd w:fill="1A5276"/>
      </w:pPr>
      <w:r>
        <w:rPr>
          <w:rFonts w:ascii="Noto Sans CJK TC" w:hAnsi="Noto Sans CJK TC" w:eastAsia="Noto Sans CJK TC"/>
          <w:b/>
          <w:color w:val="FFFFFF"/>
          <w:sz w:val="26"/>
        </w:rPr>
        <w:t>這篇為什麼值得看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它是 1987 年的人機互動經典研究，直接用資料回答『為什麼使用者明明知道自己要什麼，卻找不到系統裡的東西』。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它把搜尋失敗從『使用者用錯字』改寫成『系統沒有涵蓋人類真實詞彙變異』，這個視角和今日的查詢擴展、同義詞庫、語意搜尋仍高度相關。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它提供可量化的基準：兩人對同一項目想到同一詞的機率很低，設計者憑直覺選一個名稱並不可靠。</w:t>
      </w:r>
    </w:p>
    <w:p>
      <w:pPr>
        <w:keepNext/>
        <w:spacing w:before="180" w:after="120"/>
        <w:shd w:fill="1A5276"/>
      </w:pPr>
      <w:r>
        <w:rPr>
          <w:rFonts w:ascii="Noto Sans CJK TC" w:hAnsi="Noto Sans CJK TC" w:eastAsia="Noto Sans CJK TC"/>
          <w:b/>
          <w:color w:val="FFFFFF"/>
          <w:sz w:val="26"/>
        </w:rPr>
        <w:t>它到底提出什麼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先否定單一『自然、明顯、自證』名稱的神話：即使挑出最常見的詞，多數情境仍有 65%-85% 的第一次失敗。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少量別名有幫助，但邊際效益很快下降；要得到真正可用的覆蓋率，需要遠多於一般設計者直覺上會配置的替代詞。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設計觀點要從 item-centered 轉向 word-centered：不要只問『這個項目該叫什麼』，而要問『使用者可能輸入哪些詞，而每個詞最可能指向什麼』。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不限量別名不是直接執行所有猜測。當一個詞可能指向多個項目時，系統應回傳少量候選，讓使用者辨識與消歧義。</w:t>
      </w:r>
    </w:p>
    <w:p>
      <w:pPr>
        <w:keepNext/>
        <w:spacing w:before="180" w:after="120"/>
        <w:shd w:fill="1A5276"/>
      </w:pPr>
      <w:r>
        <w:rPr>
          <w:rFonts w:ascii="Noto Sans CJK TC" w:hAnsi="Noto Sans CJK TC" w:eastAsia="Noto Sans CJK TC"/>
          <w:b/>
          <w:color w:val="FFFFFF"/>
          <w:sz w:val="26"/>
        </w:rPr>
        <w:t>證據與方法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研究涵蓋五個應用領域、六組資料集：Editor-5 與 Editor-25 同屬文字編輯領域，另外還有 Decoder、Common Objects、Classifieds、Recipe Keywords；樣本來源包含 48 位打字員、100 位系統設計者、337 位大學生、30 位家庭主婦，以及 8 位專業廚師與 16 位家庭主婦。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Results Table I（p.966）：兩人對同一項目使用相同詞的機率依序為 .07、.11、.08、.12、.14、.18。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Results Table II（p.967）：即使使用最常見的單一詞，各資料集命中率估計約 .15-.36，換言之仍常失敗。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Results Tables III-IV（p.967）：三個直覺別名的命中率約 .20-.45；三個最熱門別名約 .37-.67。Figure 2（p.967）與 p.968 正文顯示，即使 15 個最佳別名，Common Objects 也大約只能涵蓋 60%-80% 的嘗試。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Results Table V（p.968）：同一詞兩次使用時指向相同項目的機率落差很大，從 Recipe Keywords 的 .13 到 Decoder 的 .73，顯示別名覆蓋與精確率必須一起處理。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Results Table VI（p.969）：理想資料下，成功前的中位猜測數多半為 1，Editor-25 為 3、Recipe Keywords 為 4；各領域項目數分別為 5、25、12、50、64、188。以一半資料重估時，表現約下降三分之一；Classifieds 只用 8 位受試者資料時腰斬，Common Objects 用 178 位資料時降三分之一，Editor-5 用 24 位資料時僅降 10%。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作者用實際詞彙使用資料建立 word-object 頻率表，再模擬不同命名與別名策略，而不是只比較兩個既有介面。</w:t>
      </w:r>
    </w:p>
    <w:p>
      <w:pPr>
        <w:keepNext/>
        <w:spacing w:before="180" w:after="120"/>
        <w:shd w:fill="1A5276"/>
      </w:pPr>
      <w:r>
        <w:rPr>
          <w:rFonts w:ascii="Noto Sans CJK TC" w:hAnsi="Noto Sans CJK TC" w:eastAsia="Noto Sans CJK TC"/>
          <w:b/>
          <w:color w:val="FFFFFF"/>
          <w:sz w:val="26"/>
        </w:rPr>
        <w:t>和 Tarshar 的知識管理／語意搜尋研究有什麼關係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可作為『關鍵字搜尋為何漏找』的理論與實證前史：問題不只在文件內容，也在查詢詞與索引詞沒有對上。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可支撐同義詞庫、別名表、查詢擴展、使用紀錄回饋等設計需求；尤其適合解釋為什麼知識庫要吸收第一線使用者真實用語。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可把今日語意搜尋理解成更進一步的 word-centered 機制：不只記錄字面別名，也用向量語意找相近表達。不過這是延伸解讀，原文沒有討論 embedding、RAG 或生成式 AI。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評估時可沿用它的問題意識：測第一次命中、Top-k 候選內是否找到、需要幾次消歧義，以及新詞出現率；再與 A12 的 on-topic rate 或現代檢索指標銜接。</w:t>
      </w:r>
    </w:p>
    <w:p>
      <w:pPr>
        <w:keepNext/>
        <w:spacing w:before="180" w:after="120"/>
        <w:shd w:fill="1A5276"/>
      </w:pPr>
      <w:r>
        <w:rPr>
          <w:rFonts w:ascii="Noto Sans CJK TC" w:hAnsi="Noto Sans CJK TC" w:eastAsia="Noto Sans CJK TC"/>
          <w:b/>
          <w:color w:val="FFFFFF"/>
          <w:sz w:val="26"/>
        </w:rPr>
        <w:t>作者提出的三條實作路徑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快速蒐集：找 4-8 位代表性使用者，每人為每個項目提供 3-6 個詞；Gomez 與 Lochbaum [5] 的小型互動檢索實驗得到四倍提升。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從內容自動擷取：文字型資料可用全文索引抽取多個存取詞；作者在食譜研究中觀察到文本包含約 80% 的使用者關鍵詞。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使用中自適應：系統從一般索引開始，將使用者曾失敗但最後成功找到目標的詞，在使用者同意後加入詞-項目使用表；作者指出文獻 [9][10] 已有部分先例。</w:t>
      </w:r>
    </w:p>
    <w:p>
      <w:pPr>
        <w:keepNext/>
        <w:spacing w:before="180" w:after="120"/>
        <w:shd w:fill="1A5276"/>
      </w:pPr>
      <w:r>
        <w:rPr>
          <w:rFonts w:ascii="Noto Sans CJK TC" w:hAnsi="Noto Sans CJK TC" w:eastAsia="Noto Sans CJK TC"/>
          <w:b/>
          <w:color w:val="FFFFFF"/>
          <w:sz w:val="26"/>
        </w:rPr>
        <w:t>限制與不能過度推論的地方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研究發表於 1987 年，資料集規模約 5-200 個項目，不能直接代表今日大型、多語言、跨模態知識庫。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它研究的是詞彙驅動存取與第一次嘗試，沒有比較 BM25、向量嵌入、重排序器或 RAG，也不能直接證明生成式 AI 的效果。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不限量別名的理想表現依賴大量真實 word-object 使用資料；資料不足時，新詞與錯誤對應仍會造成失敗。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較高召回可能帶來歧義，因此高風險命令不能只靠系統猜測，必須設計確認與消歧義。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部分結論來自模擬與早期互動系統實驗；引用具體成效時要保留資料集、樣本與假設。</w:t>
      </w:r>
    </w:p>
    <w:p>
      <w:pPr>
        <w:keepNext/>
        <w:spacing w:before="180" w:after="120"/>
        <w:shd w:fill="1A5276"/>
      </w:pPr>
      <w:r>
        <w:rPr>
          <w:rFonts w:ascii="Noto Sans CJK TC" w:hAnsi="Noto Sans CJK TC" w:eastAsia="Noto Sans CJK TC"/>
          <w:b/>
          <w:color w:val="FFFFFF"/>
          <w:sz w:val="26"/>
        </w:rPr>
        <w:t>引用前要回原文核對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命中率、機率與倍數：回到 Results Tables I-VI（印刷頁 966-969）。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『三到五倍』改善：回到摘要與作者描述的模擬／直接實驗脈絡，不要寫成所有系統都必然提升。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Figure 2 的 15 個別名與 60%-80%：這是 Common Objects 資料的估計範圍，不是所有領域的固定值。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『50%-100% 命中率』：原文限定在不限量別名、前三次猜測、且依領域與蒐集資料量而異。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現代語意搜尋、向量資料庫與 RAG 的連結屬於本次研讀延伸，不是作者原始主張。</w:t>
      </w:r>
    </w:p>
    <w:p>
      <w:pPr>
        <w:keepNext/>
        <w:spacing w:before="180" w:after="120"/>
        <w:shd w:fill="1A5276"/>
      </w:pPr>
      <w:r>
        <w:rPr>
          <w:rFonts w:ascii="Noto Sans CJK TC" w:hAnsi="Noto Sans CJK TC" w:eastAsia="Noto Sans CJK TC"/>
          <w:b/>
          <w:color w:val="FFFFFF"/>
          <w:sz w:val="26"/>
        </w:rPr>
        <w:t>建議放進自己論文的位置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第一章｜研究動機：說明使用者詞彙與系統索引不一致，是知識檢索失敗的根本來源之一。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第二章｜資訊檢索與人機互動：作為查詢詞變異、別名、召回／精確率與消歧義的經典來源。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第三章｜評估設計：轉化為 first-try hit、Top-k hit、猜測次數、新詞率與消歧義成本等指標。</w:t>
      </w:r>
    </w:p>
    <w:p>
      <w:pPr>
        <w:pStyle w:val="ListBullet"/>
        <w:spacing w:after="80"/>
        <w:ind w:left="259" w:hanging="173"/>
      </w:pPr>
      <w:r>
        <w:rPr>
          <w:rFonts w:ascii="Noto Sans CJK TC" w:hAnsi="Noto Sans CJK TC" w:eastAsia="Noto Sans CJK TC"/>
          <w:color w:val="222222"/>
          <w:sz w:val="20"/>
        </w:rPr>
        <w:t>討論章｜現代延伸：比較人工別名、全文索引、語意向量與使用回饋式自適應索引的差異。</w:t>
      </w:r>
    </w:p>
    <w:p>
      <w:pPr>
        <w:keepNext/>
        <w:spacing w:before="180" w:after="120"/>
        <w:shd w:fill="1A5276"/>
      </w:pPr>
      <w:r>
        <w:rPr>
          <w:rFonts w:ascii="Noto Sans CJK TC" w:hAnsi="Noto Sans CJK TC" w:eastAsia="Noto Sans CJK TC"/>
          <w:b/>
          <w:color w:val="FFFFFF"/>
          <w:sz w:val="26"/>
        </w:rPr>
        <w:t>正式書目</w:t>
      </w:r>
    </w:p>
    <w:p>
      <w:pPr>
        <w:spacing w:before="60" w:after="40" w:line="240" w:lineRule="auto"/>
        <w:jc w:val="both"/>
      </w:pPr>
      <w:r>
        <w:rPr>
          <w:rFonts w:ascii="Times New Roman" w:hAnsi="Times New Roman" w:eastAsia="Times New Roman"/>
          <w:color w:val="111111"/>
          <w:sz w:val="20"/>
        </w:rPr>
        <w:t>Furnas, G. W., Landauer, T. K., Gomez, L. M., &amp; Dumais, S. T. (1987). The vocabulary problem in human-system communication. Communications of the ACM, 30(11), 964-971. https://doi.org/10.1145/32206.32212</w:t>
      </w:r>
    </w:p>
    <w:sectPr w:rsidR="00FC693F" w:rsidRPr="0006063C" w:rsidSect="00034616">
      <w:pgSz w:w="11909" w:h="16834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Noto Sans CJK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A13 口語研讀摘要｜The Vocabulary Problem</dc:title>
  <dc:subject>論文研讀庫 A13</dc:subject>
  <dc:creator>羅靜娟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