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A5276"/>
          <w:sz w:val="48"/>
          <w:szCs w:val="48"/>
        </w:rPr>
        <w:t xml:space="preserve">AI-enhanced competency transfer hubs: a conceptual framework for university-industry engagement and knowledge sharing</w:t>
      </w:r>
    </w:p>
    <w:p>
      <w:pPr>
        <w:spacing w:after="300"/>
        <w:jc w:val="center"/>
      </w:pPr>
      <w:r>
        <w:rPr>
          <w:rFonts w:ascii="PMingLiU" w:cs="PMingLiU" w:eastAsia="PMingLiU" w:hAnsi="PMingLiU"/>
          <w:b/>
          <w:bCs/>
          <w:color w:val="1A5276"/>
          <w:sz w:val="36"/>
          <w:szCs w:val="36"/>
        </w:rPr>
        <w:t xml:space="preserve">AI強化型能力轉移樞紐：大學與產業參與及知識共享的概念性框架</w:t>
      </w:r>
    </w:p>
    <w:p>
      <w:pPr>
        <w:spacing w:after="120"/>
        <w:jc w:val="center"/>
      </w:pPr>
      <w:r>
        <w:rPr>
          <w:rFonts w:ascii="Times New Roman" w:cs="Times New Roman" w:eastAsia="Times New Roman" w:hAnsi="Times New Roman"/>
          <w:color w:val="555555"/>
          <w:sz w:val="22"/>
          <w:szCs w:val="22"/>
        </w:rPr>
        <w:t xml:space="preserve">Vikas Arya, Ankita Saraf, Nikolai Chichkanov, Armando Papa, Marco Romano</w:t>
      </w:r>
    </w:p>
    <w:p>
      <w:pPr>
        <w:spacing w:after="60"/>
        <w:jc w:val="center"/>
      </w:pPr>
      <w:r>
        <w:rPr>
          <w:rFonts w:ascii="Times New Roman" w:cs="Times New Roman" w:eastAsia="Times New Roman" w:hAnsi="Times New Roman"/>
          <w:color w:val="555555"/>
          <w:sz w:val="20"/>
          <w:szCs w:val="20"/>
        </w:rPr>
        <w:t xml:space="preserve">The Journal of Technology Transfer (2026) 51:682–712</w:t>
      </w:r>
    </w:p>
    <w:p>
      <w:pPr>
        <w:spacing w:after="60"/>
        <w:jc w:val="center"/>
      </w:pPr>
      <w:r>
        <w:rPr>
          <w:rFonts w:ascii="Times New Roman" w:cs="Times New Roman" w:eastAsia="Times New Roman" w:hAnsi="Times New Roman"/>
          <w:color w:val="1a7abf"/>
          <w:sz w:val="20"/>
          <w:szCs w:val="20"/>
        </w:rPr>
        <w:t xml:space="preserve">DOI: 10.1007/s10961-025-10233-7</w:t>
      </w:r>
    </w:p>
    <w:p>
      <w:pPr>
        <w:spacing w:after="300"/>
        <w:jc w:val="center"/>
      </w:pPr>
      <w:r>
        <w:rPr>
          <w:rFonts w:ascii="PMingLiU" w:cs="PMingLiU" w:eastAsia="PMingLiU" w:hAnsi="PMingLiU"/>
          <w:color w:val="555555"/>
          <w:sz w:val="18"/>
          <w:szCs w:val="18"/>
        </w:rPr>
        <w:t xml:space="preserve">期刊等級：SSCI收錄｜Springer Nature出版｜Journal of Technology Transfer</w:t>
      </w:r>
    </w:p>
    <w:p>
      <w:pPr>
        <w:pBdr>
          <w:top w:val="single" w:color="85C1E9" w:sz="6"/>
          <w:bottom w:val="single" w:color="85C1E9" w:sz="6"/>
          <w:left w:val="thick" w:color="1A5276" w:sz="24"/>
          <w:right w:val="single" w:color="85C1E9" w:sz="6"/>
        </w:pBdr>
        <w:shd w:fill="EAF4FB" w:val="clear"/>
        <w:spacing w:after="400" w:before="60" w:line="300"/>
        <w:ind w:left="431"/>
      </w:pPr>
      <w:r>
        <w:rPr>
          <w:rFonts w:ascii="Arial" w:cs="Arial" w:eastAsia="Arial" w:hAnsi="Arial"/>
          <w:b/>
          <w:bCs/>
          <w:color w:val="1A5276"/>
          <w:sz w:val="16"/>
          <w:szCs w:val="16"/>
        </w:rPr>
        <w:t xml:space="preserve">▶ 閱讀說明　</w:t>
      </w:r>
      <w:r>
        <w:rPr>
          <w:rFonts w:ascii="PMingLiU" w:cs="PMingLiU" w:eastAsia="PMingLiU" w:hAnsi="PMingLiU"/>
          <w:color w:val="1A5276"/>
          <w:sz w:val="20"/>
          <w:szCs w:val="20"/>
        </w:rPr>
        <w:t xml:space="preserve">本版為段落中英對照（版本C藍框注釋格式）。研讀範圍：全文1至5節（含摘要）；參考文獻清單保留原文、不翻譯（學術慣例）。一段英文緊接一段藍框中文譯文，段落完整對應，非逐句亦非摘要。</w:t>
      </w:r>
    </w:p>
    <w:p>
      <w:pPr>
        <w:jc w:val="center"/>
      </w:pPr>
      <w:r>
        <w:rPr>
          <w:rFonts w:ascii="PMingLiU" w:cs="PMingLiU" w:eastAsia="PMingLiU" w:hAnsi="PMingLiU"/>
          <w:color w:val="888888"/>
          <w:sz w:val="18"/>
          <w:szCs w:val="18"/>
        </w:rPr>
        <w:t xml:space="preserve">羅靜娟｜學號714630117</w:t>
      </w:r>
    </w:p>
    <w:p>
      <w:r>
        <w:br w:type="page"/>
      </w:r>
    </w:p>
    <w:p>
      <w:pPr>
        <w:pageBreakBefore/>
        <w:shd w:fill="1A5276" w:val="clear"/>
        <w:spacing w:after="200" w:before="400"/>
      </w:pPr>
      <w:r>
        <w:rPr>
          <w:rFonts w:ascii="PMingLiU" w:cs="PMingLiU" w:eastAsia="PMingLiU" w:hAnsi="PMingLiU"/>
          <w:b/>
          <w:bCs/>
          <w:color w:val="FFFFFF"/>
          <w:sz w:val="32"/>
          <w:szCs w:val="32"/>
        </w:rPr>
        <w:t xml:space="preserve">Abstract　摘要</w:t>
      </w:r>
    </w:p>
    <w:p>
      <w:pPr>
        <w:spacing w:after="120" w:line="276"/>
        <w:jc w:val="both"/>
      </w:pPr>
      <w:r>
        <w:rPr>
          <w:rFonts w:ascii="Times New Roman" w:cs="Times New Roman" w:eastAsia="Times New Roman" w:hAnsi="Times New Roman"/>
          <w:color w:val="000000"/>
          <w:sz w:val="20"/>
          <w:szCs w:val="20"/>
        </w:rPr>
        <w:t xml:space="preserve">This paper introduces a framework for AI-driven competency transfer hubs, designed to facilitate effective knowledge exchange and collaboration between universities and industries. These hubs leverage artificial intelligence technologies like machine learning and natural language processing to enhance the efficiency and effectiveness of information flows between academic institutions and industry partners, optimizing the whole knowledge-sharing process. Using the TCM-ADO framework the paper consolidates existing perspectives and offers practical suggestions on how to incorporate AI technologies into competency hubs. The discussion further delves into outlining key layers of such hubs including AI-powered knowledge extraction and enrichment, knowledge customization, adaptive project management as well as collaboration outcome enhancement and feedback optimization.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本文提出一套以AI驅動的「能力轉移樞紐（CTHs）」框架，旨在促進大學與產業之間有效的知識交流與協作。這些樞紐運用機器學習（ML）與自然語言處理（NLP）等AI技術，提升資訊流動的效率與效果。研究援引TCM-ADO框架，整合現有觀點，就如何將AI技術融入能力轉移樞紐提供實務建議，並闡述CTHs的核心層次：AI驅動的知識擷取與豐富化、知識客製化、自適應專案管理，以及協作成效提升與回饋優化。</w:t>
      </w:r>
    </w:p>
    <w:p>
      <w:pPr>
        <w:pageBreakBefore/>
        <w:shd w:fill="1A5276" w:val="clear"/>
        <w:spacing w:after="200" w:before="400"/>
      </w:pPr>
      <w:r>
        <w:rPr>
          <w:rFonts w:ascii="PMingLiU" w:cs="PMingLiU" w:eastAsia="PMingLiU" w:hAnsi="PMingLiU"/>
          <w:b/>
          <w:bCs/>
          <w:color w:val="FFFFFF"/>
          <w:sz w:val="32"/>
          <w:szCs w:val="32"/>
        </w:rPr>
        <w:t xml:space="preserve">1  Introduction　第一節　緒論</w:t>
      </w:r>
    </w:p>
    <w:p>
      <w:pPr>
        <w:spacing w:after="120" w:line="276"/>
        <w:jc w:val="both"/>
      </w:pPr>
      <w:r>
        <w:rPr>
          <w:rFonts w:ascii="Times New Roman" w:cs="Times New Roman" w:eastAsia="Times New Roman" w:hAnsi="Times New Roman"/>
          <w:color w:val="000000"/>
          <w:sz w:val="20"/>
          <w:szCs w:val="20"/>
        </w:rPr>
        <w:t xml:space="preserve">Artificial intelligence (AI) is revolutionizing a wide range of different industries such as healthcare, manufacturing or finance by accelerating innovation and enhancing operational efficiencies. One of AI's most promising transformative roles lies in fostering university-industry collaborations, where academic institutions generate cutting-edge research and industries apply these advancements for real-world impact.</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人工智慧（AI）正以加速創新、提升運營效率的方式，在醫療、製造、金融等各行各業掀起革命。AI最具前景的轉型角色之一，在於推動大學與產業的協作：學術機構產出前沿研究，產業界則將這些成果應用於實際場景。</w:t>
      </w:r>
    </w:p>
    <w:p>
      <w:pPr>
        <w:spacing w:after="120" w:line="276"/>
        <w:jc w:val="both"/>
      </w:pPr>
      <w:r>
        <w:rPr>
          <w:rFonts w:ascii="Times New Roman" w:cs="Times New Roman" w:eastAsia="Times New Roman" w:hAnsi="Times New Roman"/>
          <w:color w:val="000000"/>
          <w:sz w:val="20"/>
          <w:szCs w:val="20"/>
        </w:rPr>
        <w:t xml:space="preserve">University-industry collaborations take various forms, including internships, joint research projects, technology licensing, and consulting agreements. However, traditional university-industry partnerships often struggle with challenges such as misalignment in research and industry timelines, cultural differences, delayed knowledge dissemination and inefficiencies in knowledge transfer. These issues are particularly pronounced in AI-related fields due to the rapid pace of technological advancements, necessitating novel, AI-driven mechanisms to bridge the gap between academia and industry.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大學與產業的協作形式多元，包括實習、聯合研究計畫、技術授權與顧問委託等。然而，傳統的產學合作普遍面臨挑戰：研究時程與產業需求難以對齊、文化差異、知識傳播遲緩，以及知識轉移效率不足。這些問題在AI相關領域尤為突出，技術迭代的速度要求更新穎的AI驅動機制，才能彌合學術界與產業界之間的鴻溝。</w:t>
      </w:r>
    </w:p>
    <w:p>
      <w:pPr>
        <w:spacing w:after="120" w:line="276"/>
        <w:jc w:val="both"/>
      </w:pPr>
      <w:r>
        <w:rPr>
          <w:rFonts w:ascii="Times New Roman" w:cs="Times New Roman" w:eastAsia="Times New Roman" w:hAnsi="Times New Roman"/>
          <w:color w:val="000000"/>
          <w:sz w:val="20"/>
          <w:szCs w:val="20"/>
        </w:rPr>
        <w:t xml:space="preserve">This study aims to develop a conceptual framework for AI-enhanced competency transfer hubs (CTHs) to enhance knowledge exchange between universities and industries. CTHs are structured, technology-enhanced platforms designed to systematically facilitate knowledge transfer, optimize competency alignment and improve the efficiency of university-industry collaborations. Unlike traditional models such as technology transfer offices or research consortia, AI-enhanced CTHs leverage AI-based technologies like machine learning (ML) or natural language processing (NLP) to streamline knowledge sharing, personalize competency mapping and automate industry-academia matchmaking. By doing so these hubs can significantly improve the scalability, adaptability, and efficiency of knowledge transfer.</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旨在建構AI強化型能力轉移樞紐（CTHs）的概念性框架，以提升大學與產業之間的知識交流。CTHs是有結構、技術強化的平台，旨在系統性地促進知識轉移、優化能力對齊，並提升產學協作效率。有別於傳統的技術移轉辦公室或研究聯盟，AI強化型CTHs透過ML、NLP等技術，簡化知識共享流程、客製化能力圖譜，並自動化產學配對。</w:t>
      </w:r>
    </w:p>
    <w:p>
      <w:pPr>
        <w:spacing w:after="120" w:line="276"/>
        <w:jc w:val="both"/>
      </w:pPr>
      <w:r>
        <w:rPr>
          <w:rFonts w:ascii="Times New Roman" w:cs="Times New Roman" w:eastAsia="Times New Roman" w:hAnsi="Times New Roman"/>
          <w:color w:val="000000"/>
          <w:sz w:val="20"/>
          <w:szCs w:val="20"/>
        </w:rPr>
        <w:t xml:space="preserve">Despite extensive research on university-industry collaboration models, the role of AI in optimizing knowledge transfer remains significantly underexplored. Prior works such as the Triple Helix model emphasize the importance of government, academia, and industry collaboration, but lack adaptability to the fast-evolving AI landscape. This research is guided by the following research question (RQ): How can AI-enhanced CTHs improve the efficiency, scalability, and adaptability of university-industry knowledge exchange?</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儘管產學合作模式已有大量研究，AI在優化知識轉移中的角色仍嚴重不足。三螺旋模型強調政府、學術與產業的協作，但缺乏對AI快速演進的適應性；野中郁次郎的知識轉移框架與開放創新理論對AI如何自動化、規模化知識交流亦未完整回應。本研究核心問題為：AI強化型CTHs如何提升大學與產業知識交流的效率、可擴展性與適應性？</w:t>
      </w:r>
    </w:p>
    <w:p>
      <w:pPr>
        <w:spacing w:after="120" w:line="276"/>
        <w:jc w:val="both"/>
      </w:pPr>
      <w:r>
        <w:rPr>
          <w:rFonts w:ascii="Times New Roman" w:cs="Times New Roman" w:eastAsia="Times New Roman" w:hAnsi="Times New Roman"/>
          <w:color w:val="000000"/>
          <w:sz w:val="20"/>
          <w:szCs w:val="20"/>
        </w:rPr>
        <w:t xml:space="preserve">This study argues that AI-driven CTHs serve as a complementary mechanism rather than a replacement of traditional models. By automating knowledge transfer and dynamically aligning research outputs with industry needs, AI-enhanced CTHs facilitate real-time data-driven decision-making to align research with industry priorities, funding opportunities, and commercialization pathways. AI-powered partnerships must also emphasize fairness, transparency and accountability, ensuring that ethical governance remains central to these interactions.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本研究主張，AI驅動的CTHs是對傳統模式的「補充」而非「取代」，透過自動化知識轉移並動態對齊研究產出與產業需求，促進即時的數據驅動決策，讓研究成果與產業優先事項、資金機會和商業化路徑緊密對齊。AI驅動的夥伴關係必須重視公平、透明與問責，確保倫理治理始終處於核心位置。</w:t>
      </w:r>
    </w:p>
    <w:p>
      <w:pPr>
        <w:pageBreakBefore/>
        <w:shd w:fill="1A5276" w:val="clear"/>
        <w:spacing w:after="200" w:before="400"/>
      </w:pPr>
      <w:r>
        <w:rPr>
          <w:rFonts w:ascii="PMingLiU" w:cs="PMingLiU" w:eastAsia="PMingLiU" w:hAnsi="PMingLiU"/>
          <w:b/>
          <w:bCs/>
          <w:color w:val="FFFFFF"/>
          <w:sz w:val="32"/>
          <w:szCs w:val="32"/>
        </w:rPr>
        <w:t xml:space="preserve">2  Literature Review and Conceptual Grounding　第二節　文獻回顧與概念基礎</w:t>
      </w:r>
    </w:p>
    <w:p>
      <w:pPr>
        <w:pBdr>
          <w:bottom w:val="single" w:color="85C1E9" w:sz="6"/>
        </w:pBdr>
        <w:spacing w:after="120" w:before="300"/>
      </w:pPr>
      <w:r>
        <w:rPr>
          <w:rFonts w:ascii="PMingLiU" w:cs="PMingLiU" w:eastAsia="PMingLiU" w:hAnsi="PMingLiU"/>
          <w:b/>
          <w:bCs/>
          <w:color w:val="1A5276"/>
          <w:sz w:val="26"/>
          <w:szCs w:val="26"/>
        </w:rPr>
        <w:t xml:space="preserve">2.1  University-Industry Collaboration　2.1　大學與產業的協作</w:t>
      </w:r>
    </w:p>
    <w:p>
      <w:pPr>
        <w:spacing w:after="120" w:line="276"/>
        <w:jc w:val="both"/>
      </w:pPr>
      <w:r>
        <w:rPr>
          <w:rFonts w:ascii="Times New Roman" w:cs="Times New Roman" w:eastAsia="Times New Roman" w:hAnsi="Times New Roman"/>
          <w:color w:val="000000"/>
          <w:sz w:val="20"/>
          <w:szCs w:val="20"/>
        </w:rPr>
        <w:t xml:space="preserve">Nowadays, in many countries around the world, one of the main directions of innovation policy refers to the encouragement of more intensive commercialization of university knowledge. Therefore, universities have become an essential part of regional entrepreneurial ecosystems. University-industry collaborations have long been recognized as essential drivers of technological progress, innovation, and economic development. The Triple Helix model underscores the significance of partnerships among universities, industries, and governments in fostering a knowledge-based economy — universities act as knowledge generators, industries serve as knowledge consumers, while governments establish regulatory frameworks. While the Triple Helix model remains influential, it does not fully account for the increasing complexities of knowledge transfer in rapidly evolving technological landscapes.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當今許多國家的創新政策主軸之一，是鼓勵大學知識更積極地商業化，大學已成為區域創業生態系的核心角色。產學合作長期被視為技術進步、創新與經濟發展的關鍵驅動力。三螺旋模型強調大學（知識生產者）、產業（知識消費者）與政府（監管框架）三方夥伴關係的重要性。然而，三螺旋模型在面對快速演進的技術環境時，對知識轉移日益複雜的現況仍有不足。</w:t>
      </w:r>
    </w:p>
    <w:p>
      <w:pPr>
        <w:spacing w:after="120" w:line="276"/>
        <w:jc w:val="both"/>
      </w:pPr>
      <w:r>
        <w:rPr>
          <w:rFonts w:ascii="Times New Roman" w:cs="Times New Roman" w:eastAsia="Times New Roman" w:hAnsi="Times New Roman"/>
          <w:color w:val="000000"/>
          <w:sz w:val="20"/>
          <w:szCs w:val="20"/>
        </w:rPr>
        <w:t xml:space="preserve">Traditional knowledge transfer models have highlighted the importance of structured mechanisms to ensure that academic research translates into practical innovations. However, existing theoretical models such as Open Innovation and Absorptive Capacity Theory are not fully helpful to address how AI can enhance and automate the knowledge transfer process. In contrast, recent empirical studies have demonstrated that AI-driven solutions can significantly enhance knowledge transfer through automating knowledge discovery, facilitating interdisciplinary connections and accelerating the transfer of research insights into practical applications.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傳統知識轉移模型強調結構化機制對於將學術研究轉化為實際創新的重要性。開放創新理論與吸收能力理論提供了企業如何辨識、吸收並應用外部知識的洞察，但對AI如何強化、自動化知識轉移流程的回應仍然不足。相比之下，近期實證研究已顯示，AI驅動的解決方案可透過自動化知識探索、促進跨學科連結、加速研究洞察轉化，顯著強化產學間的知識轉移。</w:t>
      </w:r>
    </w:p>
    <w:p>
      <w:pPr>
        <w:pBdr>
          <w:bottom w:val="single" w:color="85C1E9" w:sz="6"/>
        </w:pBdr>
        <w:spacing w:after="120" w:before="300"/>
      </w:pPr>
      <w:r>
        <w:rPr>
          <w:rFonts w:ascii="PMingLiU" w:cs="PMingLiU" w:eastAsia="PMingLiU" w:hAnsi="PMingLiU"/>
          <w:b/>
          <w:bCs/>
          <w:color w:val="1A5276"/>
          <w:sz w:val="26"/>
          <w:szCs w:val="26"/>
        </w:rPr>
        <w:t xml:space="preserve">2.2  Knowledge Transfer and AI　2.2　知識轉移與AI</w:t>
      </w:r>
    </w:p>
    <w:p>
      <w:pPr>
        <w:spacing w:after="120" w:line="276"/>
        <w:jc w:val="both"/>
      </w:pPr>
      <w:r>
        <w:rPr>
          <w:rFonts w:ascii="Times New Roman" w:cs="Times New Roman" w:eastAsia="Times New Roman" w:hAnsi="Times New Roman"/>
          <w:color w:val="000000"/>
          <w:sz w:val="20"/>
          <w:szCs w:val="20"/>
        </w:rPr>
        <w:t xml:space="preserve">Effective knowledge transfer is the cornerstone of successful university-industry collaboration. The Knowledge Transfer Theory (Nonaka &amp; Takeuchi, 1995) emphasizes the systematic codification and exchange of knowledge. However, contemporary research increasingly suggests that knowledge transfer also thrives in decentralized, organic, and individual-driven exchanges, where personal networks, informal collaborations, and departmental initiatives play a significant role.</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有效的知識轉移是成功產學協作的基石。野中郁次郎的知識轉移理論（Nonaka &amp; Takeuchi, 1995）強調知識的系統性編碼與交換。然而，當代研究越來越指出，知識轉移也在去中心化、有機的個人驅動交流中蓬勃發展，個人網絡、非正式協作與部門主導的行動都扮演關鍵角色。</w:t>
      </w:r>
    </w:p>
    <w:p>
      <w:pPr>
        <w:spacing w:after="120" w:line="276"/>
        <w:jc w:val="both"/>
      </w:pPr>
      <w:r>
        <w:rPr>
          <w:rFonts w:ascii="Times New Roman" w:cs="Times New Roman" w:eastAsia="Times New Roman" w:hAnsi="Times New Roman"/>
          <w:color w:val="000000"/>
          <w:sz w:val="20"/>
          <w:szCs w:val="20"/>
        </w:rPr>
        <w:t xml:space="preserve">The complexity of knowledge exchange has intensified with the advent of AI. Unlike conventional models that rely on human mediation and structured exchanges, AI introduces adaptive mechanisms capable of enhancing both formal and informal knowledge flows. ML, NLP, and predictive analytics facilitate the automatic identification, extraction, and dissemination of knowledge, transforming static, linear transfer models into dynamic, self-sustaining ecosystems that align research advancements with industry needs in real time. AI-driven CTHs provide a scalable, hybrid solution by integrating institutional oversight with decentralized collaboration; NLP-driven knowledge extraction systematically captures insights from conferences, workshops, and informal collaborations, ensuring tacit knowledge is not lost.</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AI的出現讓產學知識交流的複雜性大幅加劇，打破傳統依賴人工中介的轉移機制。ML、NLP與預測分析能自動辨識、擷取並傳播知識，將靜態的線性轉移模型轉變為動態、自我維繫的生態系統，讓研究進展與產業需求即時對齊。AI驅動的CTHs透過整合機構監督與去中心化協作，提供混合解決方案；NLP驅動的知識擷取則系統性地捕捉研討會、工作坊與非正式協作中的洞察，確保隱性知識不流失。</w:t>
      </w:r>
    </w:p>
    <w:p>
      <w:pPr>
        <w:pBdr>
          <w:bottom w:val="single" w:color="85C1E9" w:sz="6"/>
        </w:pBdr>
        <w:spacing w:after="120" w:before="300"/>
      </w:pPr>
      <w:r>
        <w:rPr>
          <w:rFonts w:ascii="PMingLiU" w:cs="PMingLiU" w:eastAsia="PMingLiU" w:hAnsi="PMingLiU"/>
          <w:b/>
          <w:bCs/>
          <w:color w:val="1A5276"/>
          <w:sz w:val="26"/>
          <w:szCs w:val="26"/>
        </w:rPr>
        <w:t xml:space="preserve">2.3  TCM-ADO Framework　2.3　TCM-ADO分析框架</w:t>
      </w:r>
    </w:p>
    <w:p>
      <w:pPr>
        <w:spacing w:after="120" w:line="276"/>
        <w:jc w:val="both"/>
      </w:pPr>
      <w:r>
        <w:rPr>
          <w:rFonts w:ascii="Times New Roman" w:cs="Times New Roman" w:eastAsia="Times New Roman" w:hAnsi="Times New Roman"/>
          <w:color w:val="000000"/>
          <w:sz w:val="20"/>
          <w:szCs w:val="20"/>
        </w:rPr>
        <w:t xml:space="preserve">The foundation of this study is built upon the TCM-ADO framework (Paul et al., 2017). This framework encompasses two main elements: TCM (Theory, Context and Methodology) and ADO (Antecedents, Decisions, Outcomes). The six dimensions are applied to AI-driven CTHs as follows: Theory (T) — knowledge transfer, open innovation, and socio-technical systems theory; Context (C) — AI-driven collaborative environments and barriers; Methodology (M) — conceptual model building; Antecedents (A) — drivers for needing CTHs; Decisions (D) — choices in adopting AI tools; Outcomes (O) — enhanced efficiency and accelerated innovation cycles.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以Paul等人（2017）提出的TCM-ADO框架為基礎，包含TCM（理論、情境、方法論）與ADO（前因、決策、結果）兩大元素。應用於AI驅動CTHs的六個維度為：理論（T）涵蓋知識轉移理論、開放創新與社會技術系統理論；情境（C）聚焦AI驅動的協作環境與障礙；方法論（M）為概念模型建構；前因（A）是需要CTHs的驅動因素；決策（D）是採用AI工具的選擇；結果（O）則是效率提升與創新週期加速。</w:t>
      </w:r>
    </w:p>
    <w:p>
      <w:pPr>
        <w:pageBreakBefore/>
        <w:shd w:fill="1A5276" w:val="clear"/>
        <w:spacing w:after="200" w:before="400"/>
      </w:pPr>
      <w:r>
        <w:rPr>
          <w:rFonts w:ascii="PMingLiU" w:cs="PMingLiU" w:eastAsia="PMingLiU" w:hAnsi="PMingLiU"/>
          <w:b/>
          <w:bCs/>
          <w:color w:val="FFFFFF"/>
          <w:sz w:val="32"/>
          <w:szCs w:val="32"/>
        </w:rPr>
        <w:t xml:space="preserve">3  Conceptual Model Development　第三節　概念模型建構</w:t>
      </w:r>
    </w:p>
    <w:p>
      <w:pPr>
        <w:pBdr>
          <w:bottom w:val="single" w:color="85C1E9" w:sz="6"/>
        </w:pBdr>
        <w:spacing w:after="120" w:before="300"/>
      </w:pPr>
      <w:r>
        <w:rPr>
          <w:rFonts w:ascii="PMingLiU" w:cs="PMingLiU" w:eastAsia="PMingLiU" w:hAnsi="PMingLiU"/>
          <w:b/>
          <w:bCs/>
          <w:color w:val="1A5276"/>
          <w:sz w:val="26"/>
          <w:szCs w:val="26"/>
        </w:rPr>
        <w:t xml:space="preserve">3.1  AI-Driven Competency Transfer and Collaboration Framework　3.1　AI驅動的能力轉移與協作框架（四層架構）</w:t>
      </w:r>
    </w:p>
    <w:p>
      <w:pPr>
        <w:spacing w:after="120" w:line="276"/>
        <w:jc w:val="both"/>
      </w:pPr>
      <w:r>
        <w:rPr>
          <w:rFonts w:ascii="Times New Roman" w:cs="Times New Roman" w:eastAsia="Times New Roman" w:hAnsi="Times New Roman"/>
          <w:color w:val="000000"/>
          <w:sz w:val="20"/>
          <w:szCs w:val="20"/>
        </w:rPr>
        <w:t xml:space="preserve">The new AI-Enhanced Competency Transfer and Collaboration Framework aims to strengthen relationships between universities and industries by streamlining knowledge sharing processes and enhancing collaboration scalability. The setup consists of four layers, working together to facilitate effective knowledge sharing processes.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這套AI強化型能力轉移與協作框架，旨在透過簡化知識共享流程、提升協作可擴展性，強化大學與產業之間的關係。整體架構由四個層次組成，協同運作以促進有效的知識共享流程。</w:t>
      </w:r>
    </w:p>
    <w:p>
      <w:pPr>
        <w:spacing w:after="80" w:before="200"/>
      </w:pPr>
      <w:r>
        <w:rPr>
          <w:rFonts w:ascii="PMingLiU" w:cs="PMingLiU" w:eastAsia="PMingLiU" w:hAnsi="PMingLiU"/>
          <w:b/>
          <w:bCs/>
          <w:color w:val="1A5276"/>
          <w:sz w:val="22"/>
          <w:szCs w:val="22"/>
        </w:rPr>
        <w:t xml:space="preserve">Layer 1: Knowledge Extraction and Enrichment　第一層：知識擷取與豐富化</w:t>
      </w:r>
    </w:p>
    <w:p>
      <w:pPr>
        <w:spacing w:after="120" w:line="276"/>
        <w:jc w:val="both"/>
      </w:pPr>
      <w:r>
        <w:rPr>
          <w:rFonts w:ascii="Times New Roman" w:cs="Times New Roman" w:eastAsia="Times New Roman" w:hAnsi="Times New Roman"/>
          <w:color w:val="000000"/>
          <w:sz w:val="20"/>
          <w:szCs w:val="20"/>
        </w:rPr>
        <w:t xml:space="preserve">The initial step involves gathering and processing data to establish a base for further knowledge sharing. By utilizing machine learning techniques for data scraping and aggregation purposes, academic articles along with patents and industry reports are compiled into a database. A Knowledge Graph is created using NLP techniques to link research subjects and prospects. The knowledge enrichment module uses entity recognition to provide context, ensuring knowledge is customized to suit collaboration purposes like product development or research innovation.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第一層核心工作是蒐集並處理資料，為後續知識共享奠定基礎。透過ML技術進行網路爬取與資料彙整，學術期刊文章、專利與產業報告被整合進資料庫。接著，利用NLP技術建立知識圖譜，連結研究主題與應用前景。知識豐富化模組藉由實體識別為資訊提供脈絡，確保知識能客製化以符合產品開發或研究創新等協作目的。</w:t>
      </w:r>
    </w:p>
    <w:p>
      <w:pPr>
        <w:spacing w:after="80" w:before="200"/>
      </w:pPr>
      <w:r>
        <w:rPr>
          <w:rFonts w:ascii="PMingLiU" w:cs="PMingLiU" w:eastAsia="PMingLiU" w:hAnsi="PMingLiU"/>
          <w:b/>
          <w:bCs/>
          <w:color w:val="1A5276"/>
          <w:sz w:val="22"/>
          <w:szCs w:val="22"/>
        </w:rPr>
        <w:t xml:space="preserve">Layer 2: Automated Knowledge Transfer and Customization　第二層：自動化知識轉移與客製化</w:t>
      </w:r>
    </w:p>
    <w:p>
      <w:pPr>
        <w:spacing w:after="120" w:line="276"/>
        <w:jc w:val="both"/>
      </w:pPr>
      <w:r>
        <w:rPr>
          <w:rFonts w:ascii="Times New Roman" w:cs="Times New Roman" w:eastAsia="Times New Roman" w:hAnsi="Times New Roman"/>
          <w:color w:val="000000"/>
          <w:sz w:val="20"/>
          <w:szCs w:val="20"/>
        </w:rPr>
        <w:t xml:space="preserve">This layer utilizes AI tools to adjust and share information fitting each individual's needs, dealing with concerns regarding terminology clarity and practical usability. NLP-powered summarization simplifies research discoveries for industry professionals. Interactive AI elements respond to inquiries and explain complicated subjects, helping connect the divide between academic and industry knowledge. NLP translation models help align language with industry-specific terminology, fostering coherent communication.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第二層運用AI工具，依據個人需求調整並共享資訊，處理術語清晰度與實際可用性的問題。NLP驅動的摘要功能將研究發現簡化，讓產業人士能理解。互動式AI元素可即時回應詢問、解釋複雜概念，縮短學術與產業知識之間的落差。NLP翻譯模型則有助於讓語言與產業慣用術語對齊，促進各方的一致溝通。</w:t>
      </w:r>
    </w:p>
    <w:p>
      <w:pPr>
        <w:spacing w:after="80" w:before="200"/>
      </w:pPr>
      <w:r>
        <w:rPr>
          <w:rFonts w:ascii="PMingLiU" w:cs="PMingLiU" w:eastAsia="PMingLiU" w:hAnsi="PMingLiU"/>
          <w:b/>
          <w:bCs/>
          <w:color w:val="1A5276"/>
          <w:sz w:val="22"/>
          <w:szCs w:val="22"/>
        </w:rPr>
        <w:t xml:space="preserve">Layer 3: Scalability, Coordination, and Adaptive Project Management　第三層：可擴展性、協調與自適應專案管理</w:t>
      </w:r>
    </w:p>
    <w:p>
      <w:pPr>
        <w:spacing w:after="120" w:line="276"/>
        <w:jc w:val="both"/>
      </w:pPr>
      <w:r>
        <w:rPr>
          <w:rFonts w:ascii="Times New Roman" w:cs="Times New Roman" w:eastAsia="Times New Roman" w:hAnsi="Times New Roman"/>
          <w:color w:val="000000"/>
          <w:sz w:val="20"/>
          <w:szCs w:val="20"/>
        </w:rPr>
        <w:t xml:space="preserve">The third layer assists in managing day-to-day tasks effectively to facilitate responsive teamwork. AI-based analytics for resource planning and schedule adjustment enable better goal alignment. NLP tools help coordinate collaborations across fields of expertise. AI streamlines workflows and provides adaptability and alignment of project schedules, enabling teams to swiftly adjust to emerging insights and market changes.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三層協助有效管理日常任務，促進靈活的團隊協作。AI分析進行資源規劃、依學術與商業時程調整排程，讓組織更好地與目標對齊。NLP排程與翻譯工具有助於跨領域協作。AI在簡化工作流程方面的應用，提供專案時程的適應性與對齊性，讓團隊迅速因應新興洞察與市場變化。</w:t>
      </w:r>
    </w:p>
    <w:p>
      <w:pPr>
        <w:spacing w:after="80" w:before="200"/>
      </w:pPr>
      <w:r>
        <w:rPr>
          <w:rFonts w:ascii="PMingLiU" w:cs="PMingLiU" w:eastAsia="PMingLiU" w:hAnsi="PMingLiU"/>
          <w:b/>
          <w:bCs/>
          <w:color w:val="1A5276"/>
          <w:sz w:val="22"/>
          <w:szCs w:val="22"/>
        </w:rPr>
        <w:t xml:space="preserve">Layer 4: Collaboration Outcome Enhancement and Feedback Optimization　第四層：協作成效提升與回饋優化</w:t>
      </w:r>
    </w:p>
    <w:p>
      <w:pPr>
        <w:spacing w:after="120" w:line="276"/>
        <w:jc w:val="both"/>
      </w:pPr>
      <w:r>
        <w:rPr>
          <w:rFonts w:ascii="Times New Roman" w:cs="Times New Roman" w:eastAsia="Times New Roman" w:hAnsi="Times New Roman"/>
          <w:color w:val="000000"/>
          <w:sz w:val="20"/>
          <w:szCs w:val="20"/>
        </w:rPr>
        <w:t xml:space="preserve">The last stage strengthens collaboration results by providing feedback and adaptable methods. Machine learning techniques support impact analysis and monitor collaboration performance indicators. NLP-driven sentiment analysis evaluates communication emotions and team interactions. A knowledge preservation component saves insights and top-notch strategies in an accessible database. Long-term team compatibility measures enhance fit and team formation strategies to boost collaboration efficiency.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四層透過回饋機制與自適應方法強化協作成果。ML技術支援影響力分析並監測協作績效指標；NLP驅動的情感分析評估溝通情緒與團隊互動；知識保存模組將洞察與最佳策略儲存入可取用的資料庫。長期團隊相容性評估有助於提升配對精準度與協作效率。</w:t>
      </w:r>
    </w:p>
    <w:p>
      <w:pPr>
        <w:pBdr>
          <w:bottom w:val="single" w:color="85C1E9" w:sz="6"/>
        </w:pBdr>
        <w:spacing w:after="120" w:before="300"/>
      </w:pPr>
      <w:r>
        <w:rPr>
          <w:rFonts w:ascii="PMingLiU" w:cs="PMingLiU" w:eastAsia="PMingLiU" w:hAnsi="PMingLiU"/>
          <w:b/>
          <w:bCs/>
          <w:color w:val="1A5276"/>
          <w:sz w:val="26"/>
          <w:szCs w:val="26"/>
        </w:rPr>
        <w:t xml:space="preserve">3.2  Defining the Core Elements of an AI-Enhanced Competency Transfer Hub　3.2　AI強化型能力轉移樞紐的核心構成要素</w:t>
      </w:r>
    </w:p>
    <w:p>
      <w:pPr>
        <w:spacing w:after="120" w:line="276"/>
        <w:jc w:val="both"/>
      </w:pPr>
      <w:r>
        <w:rPr>
          <w:rFonts w:ascii="Times New Roman" w:cs="Times New Roman" w:eastAsia="Times New Roman" w:hAnsi="Times New Roman"/>
          <w:color w:val="000000"/>
          <w:sz w:val="20"/>
          <w:szCs w:val="20"/>
        </w:rPr>
        <w:t xml:space="preserve">As detailed in Table 1, the implementation and success of the suggested AI-driven CTHs depend on key variables spanning financial, technological, and regulatory categories. By aligning resources and expertise from both academia and industry, AI-Enhanced CTHs provide a robust framework for converting research insights into scalable, real-world applications.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如表1所示，AI驅動CTHs的實施與成功，取決於橫跨財務、技術與法規等類別的關鍵變數。透過整合產學雙方的資源與專業知識，AI強化型CTHs提供了將研究洞察轉化為可擴展實際應用的強健框架。</w:t>
      </w:r>
    </w:p>
    <w:p>
      <w:pPr>
        <w:spacing w:after="80" w:before="200"/>
        <w:jc w:val="center"/>
      </w:pPr>
      <w:r>
        <w:rPr>
          <w:rFonts w:ascii="PMingLiU" w:cs="PMingLiU" w:eastAsia="PMingLiU" w:hAnsi="PMingLiU"/>
          <w:b/>
          <w:bCs/>
          <w:color w:val="1A5276"/>
          <w:sz w:val="18"/>
          <w:szCs w:val="18"/>
        </w:rPr>
        <w:t xml:space="preserve">Table 1  Key Variables of AI-Driven Knowledge Hubs　表1　AI驅動知識樞紐的關鍵變數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5276" w:val="clear"/>
          </w:tcPr>
          <w:p>
            <w:pPr>
              <w:jc w:val="center"/>
            </w:pPr>
            <w:r>
              <w:rPr>
                <w:rFonts w:ascii="PMingLiU" w:cs="PMingLiU" w:eastAsia="PMingLiU" w:hAnsi="PMingLiU"/>
                <w:b/>
                <w:bCs/>
                <w:color w:val="FFFFFF"/>
                <w:sz w:val="20"/>
                <w:szCs w:val="20"/>
              </w:rPr>
              <w:t xml:space="preserve">Variable Category 變數類別</w:t>
            </w:r>
          </w:p>
        </w:tc>
        <w:tc>
          <w:tcPr>
            <w:tcW w:type="pct" w:w="50%"/>
            <w:shd w:fill="1A5276" w:val="clear"/>
          </w:tcPr>
          <w:p>
            <w:pPr>
              <w:jc w:val="center"/>
            </w:pPr>
            <w:r>
              <w:rPr>
                <w:rFonts w:ascii="PMingLiU" w:cs="PMingLiU" w:eastAsia="PMingLiU" w:hAnsi="PMingLiU"/>
                <w:b/>
                <w:bCs/>
                <w:color w:val="FFFFFF"/>
                <w:sz w:val="20"/>
                <w:szCs w:val="20"/>
              </w:rPr>
              <w:t xml:space="preserve">Key Variables 關鍵變數</w:t>
            </w:r>
          </w:p>
        </w:tc>
      </w:tr>
      <w:tr>
        <w:tc>
          <w:tcPr>
            <w:tcW w:type="pct" w:w="50%"/>
            <w:shd w:fill="F4F9FD" w:val="clear"/>
          </w:tcPr>
          <w:p>
            <w:pPr>
              <w:spacing w:after="60"/>
            </w:pPr>
            <w:r>
              <w:rPr>
                <w:rFonts w:ascii="PMingLiU" w:cs="PMingLiU" w:eastAsia="PMingLiU" w:hAnsi="PMingLiU"/>
                <w:color w:val="222222"/>
                <w:sz w:val="18"/>
                <w:szCs w:val="18"/>
              </w:rPr>
              <w:t xml:space="preserve">Funding &amp; Financial
資金與財務</w:t>
            </w:r>
          </w:p>
        </w:tc>
        <w:tc>
          <w:tcPr>
            <w:tcW w:type="pct" w:w="50%"/>
            <w:shd w:fill="F4F9FD" w:val="clear"/>
          </w:tcPr>
          <w:p>
            <w:pPr>
              <w:spacing w:after="60"/>
            </w:pPr>
            <w:r>
              <w:rPr>
                <w:rFonts w:ascii="PMingLiU" w:cs="PMingLiU" w:eastAsia="PMingLiU" w:hAnsi="PMingLiU"/>
                <w:color w:val="222222"/>
                <w:sz w:val="18"/>
                <w:szCs w:val="18"/>
              </w:rPr>
              <w:t xml:space="preserve">Capital investment, operational budget, return on investments
資本投資、營運預算、投資報酬</w:t>
            </w:r>
          </w:p>
        </w:tc>
      </w:tr>
      <w:tr>
        <w:tc>
          <w:tcPr>
            <w:tcW w:type="pct" w:w="50%"/>
            <w:shd w:fill="FFFFFF" w:val="clear"/>
          </w:tcPr>
          <w:p>
            <w:pPr>
              <w:spacing w:after="60"/>
            </w:pPr>
            <w:r>
              <w:rPr>
                <w:rFonts w:ascii="PMingLiU" w:cs="PMingLiU" w:eastAsia="PMingLiU" w:hAnsi="PMingLiU"/>
                <w:color w:val="222222"/>
                <w:sz w:val="18"/>
                <w:szCs w:val="18"/>
              </w:rPr>
              <w:t xml:space="preserve">Technological
技術</w:t>
            </w:r>
          </w:p>
        </w:tc>
        <w:tc>
          <w:tcPr>
            <w:tcW w:type="pct" w:w="50%"/>
            <w:shd w:fill="FFFFFF" w:val="clear"/>
          </w:tcPr>
          <w:p>
            <w:pPr>
              <w:spacing w:after="60"/>
            </w:pPr>
            <w:r>
              <w:rPr>
                <w:rFonts w:ascii="PMingLiU" w:cs="PMingLiU" w:eastAsia="PMingLiU" w:hAnsi="PMingLiU"/>
                <w:color w:val="222222"/>
                <w:sz w:val="18"/>
                <w:szCs w:val="18"/>
              </w:rPr>
              <w:t xml:space="preserve">High-performance computing, data quality, AI tools, cybersecurity
高效能運算、資料品質、AI工具、網路安全</w:t>
            </w:r>
          </w:p>
        </w:tc>
      </w:tr>
      <w:tr>
        <w:tc>
          <w:tcPr>
            <w:tcW w:type="pct" w:w="50%"/>
            <w:shd w:fill="F4F9FD" w:val="clear"/>
          </w:tcPr>
          <w:p>
            <w:pPr>
              <w:spacing w:after="60"/>
            </w:pPr>
            <w:r>
              <w:rPr>
                <w:rFonts w:ascii="PMingLiU" w:cs="PMingLiU" w:eastAsia="PMingLiU" w:hAnsi="PMingLiU"/>
                <w:color w:val="222222"/>
                <w:sz w:val="18"/>
                <w:szCs w:val="18"/>
              </w:rPr>
              <w:t xml:space="preserve">Skills Development
技能發展</w:t>
            </w:r>
          </w:p>
        </w:tc>
        <w:tc>
          <w:tcPr>
            <w:tcW w:type="pct" w:w="50%"/>
            <w:shd w:fill="F4F9FD" w:val="clear"/>
          </w:tcPr>
          <w:p>
            <w:pPr>
              <w:spacing w:after="60"/>
            </w:pPr>
            <w:r>
              <w:rPr>
                <w:rFonts w:ascii="PMingLiU" w:cs="PMingLiU" w:eastAsia="PMingLiU" w:hAnsi="PMingLiU"/>
                <w:color w:val="222222"/>
                <w:sz w:val="18"/>
                <w:szCs w:val="18"/>
              </w:rPr>
              <w:t xml:space="preserve">Skill level, training programs, interdisciplinary readiness
技能水準、訓練計畫、跨學科準備度</w:t>
            </w:r>
          </w:p>
        </w:tc>
      </w:tr>
      <w:tr>
        <w:tc>
          <w:tcPr>
            <w:tcW w:type="pct" w:w="50%"/>
            <w:shd w:fill="FFFFFF" w:val="clear"/>
          </w:tcPr>
          <w:p>
            <w:pPr>
              <w:spacing w:after="60"/>
            </w:pPr>
            <w:r>
              <w:rPr>
                <w:rFonts w:ascii="PMingLiU" w:cs="PMingLiU" w:eastAsia="PMingLiU" w:hAnsi="PMingLiU"/>
                <w:color w:val="222222"/>
                <w:sz w:val="18"/>
                <w:szCs w:val="18"/>
              </w:rPr>
              <w:t xml:space="preserve">Governance
治理</w:t>
            </w:r>
          </w:p>
        </w:tc>
        <w:tc>
          <w:tcPr>
            <w:tcW w:type="pct" w:w="50%"/>
            <w:shd w:fill="FFFFFF" w:val="clear"/>
          </w:tcPr>
          <w:p>
            <w:pPr>
              <w:spacing w:after="60"/>
            </w:pPr>
            <w:r>
              <w:rPr>
                <w:rFonts w:ascii="PMingLiU" w:cs="PMingLiU" w:eastAsia="PMingLiU" w:hAnsi="PMingLiU"/>
                <w:color w:val="222222"/>
                <w:sz w:val="18"/>
                <w:szCs w:val="18"/>
              </w:rPr>
              <w:t xml:space="preserve">Organizational structure, IP/data sharing, stakeholder engagement
組織架構、智財/資料共享、利害關係人參與</w:t>
            </w:r>
          </w:p>
        </w:tc>
      </w:tr>
      <w:tr>
        <w:tc>
          <w:tcPr>
            <w:tcW w:type="pct" w:w="50%"/>
            <w:shd w:fill="F4F9FD" w:val="clear"/>
          </w:tcPr>
          <w:p>
            <w:pPr>
              <w:spacing w:after="60"/>
            </w:pPr>
            <w:r>
              <w:rPr>
                <w:rFonts w:ascii="PMingLiU" w:cs="PMingLiU" w:eastAsia="PMingLiU" w:hAnsi="PMingLiU"/>
                <w:color w:val="222222"/>
                <w:sz w:val="18"/>
                <w:szCs w:val="18"/>
              </w:rPr>
              <w:t xml:space="preserve">Performance Metrics
績效指標</w:t>
            </w:r>
          </w:p>
        </w:tc>
        <w:tc>
          <w:tcPr>
            <w:tcW w:type="pct" w:w="50%"/>
            <w:shd w:fill="F4F9FD" w:val="clear"/>
          </w:tcPr>
          <w:p>
            <w:pPr>
              <w:spacing w:after="60"/>
            </w:pPr>
            <w:r>
              <w:rPr>
                <w:rFonts w:ascii="PMingLiU" w:cs="PMingLiU" w:eastAsia="PMingLiU" w:hAnsi="PMingLiU"/>
                <w:color w:val="222222"/>
                <w:sz w:val="18"/>
                <w:szCs w:val="18"/>
              </w:rPr>
              <w:t xml:space="preserve">Project success, innovation output, employment outcomes
專案成功率、創新產出、就業成果</w:t>
            </w:r>
          </w:p>
        </w:tc>
      </w:tr>
      <w:tr>
        <w:tc>
          <w:tcPr>
            <w:tcW w:type="pct" w:w="50%"/>
            <w:shd w:fill="FFFFFF" w:val="clear"/>
          </w:tcPr>
          <w:p>
            <w:pPr>
              <w:spacing w:after="60"/>
            </w:pPr>
            <w:r>
              <w:rPr>
                <w:rFonts w:ascii="PMingLiU" w:cs="PMingLiU" w:eastAsia="PMingLiU" w:hAnsi="PMingLiU"/>
                <w:color w:val="222222"/>
                <w:sz w:val="18"/>
                <w:szCs w:val="18"/>
              </w:rPr>
              <w:t xml:space="preserve">Collaborative Culture
協作文化</w:t>
            </w:r>
          </w:p>
        </w:tc>
        <w:tc>
          <w:tcPr>
            <w:tcW w:type="pct" w:w="50%"/>
            <w:shd w:fill="FFFFFF" w:val="clear"/>
          </w:tcPr>
          <w:p>
            <w:pPr>
              <w:spacing w:after="60"/>
            </w:pPr>
            <w:r>
              <w:rPr>
                <w:rFonts w:ascii="PMingLiU" w:cs="PMingLiU" w:eastAsia="PMingLiU" w:hAnsi="PMingLiU"/>
                <w:color w:val="222222"/>
                <w:sz w:val="18"/>
                <w:szCs w:val="18"/>
              </w:rPr>
              <w:t xml:space="preserve">Partnership alignment, incentive structures, communication tools
夥伴關係對齊、激勵結構、溝通工具</w:t>
            </w:r>
          </w:p>
        </w:tc>
      </w:tr>
      <w:tr>
        <w:tc>
          <w:tcPr>
            <w:tcW w:type="pct" w:w="50%"/>
            <w:shd w:fill="F4F9FD" w:val="clear"/>
          </w:tcPr>
          <w:p>
            <w:pPr>
              <w:spacing w:after="60"/>
            </w:pPr>
            <w:r>
              <w:rPr>
                <w:rFonts w:ascii="PMingLiU" w:cs="PMingLiU" w:eastAsia="PMingLiU" w:hAnsi="PMingLiU"/>
                <w:color w:val="222222"/>
                <w:sz w:val="18"/>
                <w:szCs w:val="18"/>
              </w:rPr>
              <w:t xml:space="preserve">R&amp;D Scope
研發範疇</w:t>
            </w:r>
          </w:p>
        </w:tc>
        <w:tc>
          <w:tcPr>
            <w:tcW w:type="pct" w:w="50%"/>
            <w:shd w:fill="F4F9FD" w:val="clear"/>
          </w:tcPr>
          <w:p>
            <w:pPr>
              <w:spacing w:after="60"/>
            </w:pPr>
            <w:r>
              <w:rPr>
                <w:rFonts w:ascii="PMingLiU" w:cs="PMingLiU" w:eastAsia="PMingLiU" w:hAnsi="PMingLiU"/>
                <w:color w:val="222222"/>
                <w:sz w:val="18"/>
                <w:szCs w:val="18"/>
              </w:rPr>
              <w:t xml:space="preserve">Target research areas, scalability, readiness levels
目標研究領域、可擴展性、技術成熟度</w:t>
            </w:r>
          </w:p>
        </w:tc>
      </w:tr>
      <w:tr>
        <w:tc>
          <w:tcPr>
            <w:tcW w:type="pct" w:w="50%"/>
            <w:shd w:fill="FFFFFF" w:val="clear"/>
          </w:tcPr>
          <w:p>
            <w:pPr>
              <w:spacing w:after="60"/>
            </w:pPr>
            <w:r>
              <w:rPr>
                <w:rFonts w:ascii="PMingLiU" w:cs="PMingLiU" w:eastAsia="PMingLiU" w:hAnsi="PMingLiU"/>
                <w:color w:val="222222"/>
                <w:sz w:val="18"/>
                <w:szCs w:val="18"/>
              </w:rPr>
              <w:t xml:space="preserve">Regulatory &amp; Ethical
法規與倫理</w:t>
            </w:r>
          </w:p>
        </w:tc>
        <w:tc>
          <w:tcPr>
            <w:tcW w:type="pct" w:w="50%"/>
            <w:shd w:fill="FFFFFF" w:val="clear"/>
          </w:tcPr>
          <w:p>
            <w:pPr>
              <w:spacing w:after="60"/>
            </w:pPr>
            <w:r>
              <w:rPr>
                <w:rFonts w:ascii="PMingLiU" w:cs="PMingLiU" w:eastAsia="PMingLiU" w:hAnsi="PMingLiU"/>
                <w:color w:val="222222"/>
                <w:sz w:val="18"/>
                <w:szCs w:val="18"/>
              </w:rPr>
              <w:t xml:space="preserve">Compliance, ethical standards, environmental impact
合規性、倫理標準、環境影響</w:t>
            </w:r>
          </w:p>
        </w:tc>
      </w:tr>
    </w:tbl>
    <w:p>
      <w:pPr>
        <w:spacing w:after="120" w:line="276"/>
        <w:jc w:val="both"/>
      </w:pPr>
      <w:r>
        <w:rPr>
          <w:rFonts w:ascii="Times New Roman" w:cs="Times New Roman" w:eastAsia="Times New Roman" w:hAnsi="Times New Roman"/>
          <w:color w:val="000000"/>
          <w:sz w:val="20"/>
          <w:szCs w:val="20"/>
        </w:rPr>
        <w:t xml:space="preserve">The key components consist of: (1) Automation and Scalability — AI reduces workload and enables simultaneous management via cloud infrastructure; (2) Knowledge Management and Curation — NLP and ML automate sorting and retrieval; (3) Stakeholder Integration — intelligent matchmaking algorithms connect academia and industry; (4) Personalized Learning and Adaptive Training — AI customizes learning pathways; (5) Ethical Governance and Compliance — AI streamlines compliance monitoring and tackles algorithmic bias; (6) Performance Monitoring and Continuous Improvement — AI-powered feedback loops build upon past project lessons.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六大核心構成要素：（1）自動化與可擴展性——AI透過雲端基礎設施降低工作量並同時管理多個協作；（2）知識管理與策展——NLP和ML自動化分類與擷取；（3）利害關係人整合——智慧配對演算法連結產學雙方；（4）個人化學習與自適應訓練——AI依個人技能水準客製化學習路徑；（5）倫理治理與合規——AI簡化合規監控（含GDPR）並應對演算法偏見；（6）績效監測與持續改善——AI驅動的回饋迴圈確保協作從過去專案中汲取教訓。</w:t>
      </w:r>
    </w:p>
    <w:p>
      <w:pPr>
        <w:pBdr>
          <w:bottom w:val="single" w:color="85C1E9" w:sz="6"/>
        </w:pBdr>
        <w:spacing w:after="120" w:before="300"/>
      </w:pPr>
      <w:r>
        <w:rPr>
          <w:rFonts w:ascii="PMingLiU" w:cs="PMingLiU" w:eastAsia="PMingLiU" w:hAnsi="PMingLiU"/>
          <w:b/>
          <w:bCs/>
          <w:color w:val="1A5276"/>
          <w:sz w:val="26"/>
          <w:szCs w:val="26"/>
        </w:rPr>
        <w:t xml:space="preserve">3.3  Advanced AI Integration　3.3　進階AI整合</w:t>
      </w:r>
    </w:p>
    <w:p>
      <w:pPr>
        <w:spacing w:after="80" w:before="200"/>
      </w:pPr>
      <w:r>
        <w:rPr>
          <w:rFonts w:ascii="PMingLiU" w:cs="PMingLiU" w:eastAsia="PMingLiU" w:hAnsi="PMingLiU"/>
          <w:b/>
          <w:bCs/>
          <w:color w:val="1A5276"/>
          <w:sz w:val="22"/>
          <w:szCs w:val="22"/>
        </w:rPr>
        <w:t xml:space="preserve">Hybrid AI Models　混合AI模型</w:t>
      </w:r>
    </w:p>
    <w:p>
      <w:pPr>
        <w:spacing w:after="120" w:line="276"/>
        <w:jc w:val="both"/>
      </w:pPr>
      <w:r>
        <w:rPr>
          <w:rFonts w:ascii="Times New Roman" w:cs="Times New Roman" w:eastAsia="Times New Roman" w:hAnsi="Times New Roman"/>
          <w:color w:val="000000"/>
          <w:sz w:val="20"/>
          <w:szCs w:val="20"/>
        </w:rPr>
        <w:t xml:space="preserve">There is a development in AI research involving hybrid AI models that blend symbolic AI with sub-symbolic AI techniques such as deep learning and machine learning. These hybrid models enhance interpretability and efficiency in decision making. They combine logical inference capabilities with ML techniques to recognize intricate patterns in extensive datasets. In competency transfer scenarios, hybrid AI models can fulfil three roles: (1) Semantic Knowledge Mapping — matches research findings with industry requirements more effectively; (2) Dynamic Resource Allocation — forecasts and distributes resources in response to evolving project requirements; (3) Advanced Personalization — enables tailored interactions while ensuring alignment with knowledge transfer goals.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AI研究的重要進展是混合AI模型，融合符號AI與深度學習、ML等次符號技術，提升決策的可解釋性與效率。這類模型同時運用邏輯推理與ML技術辨識複雜資料模式，在能力轉移場景中扮演三種關鍵角色：（1）語意知識映射——更有效地將研究發現與產業需求配對；（2）動態資源分配——預測並因應專案需求演變調配資源；（3）進階個人化——在確保知識轉移目標對齊的前提下，實現產學雙方的客製化互動。</w:t>
      </w:r>
    </w:p>
    <w:p>
      <w:pPr>
        <w:spacing w:after="80" w:before="200"/>
      </w:pPr>
      <w:r>
        <w:rPr>
          <w:rFonts w:ascii="PMingLiU" w:cs="PMingLiU" w:eastAsia="PMingLiU" w:hAnsi="PMingLiU"/>
          <w:b/>
          <w:bCs/>
          <w:color w:val="1A5276"/>
          <w:sz w:val="22"/>
          <w:szCs w:val="22"/>
        </w:rPr>
        <w:t xml:space="preserve">Explainability and Interpretability in AI (XAI)　可解釋AI（XAI）</w:t>
      </w:r>
    </w:p>
    <w:p>
      <w:pPr>
        <w:spacing w:after="120" w:line="276"/>
        <w:jc w:val="both"/>
      </w:pPr>
      <w:r>
        <w:rPr>
          <w:rFonts w:ascii="Times New Roman" w:cs="Times New Roman" w:eastAsia="Times New Roman" w:hAnsi="Times New Roman"/>
          <w:color w:val="000000"/>
          <w:sz w:val="20"/>
          <w:szCs w:val="20"/>
        </w:rPr>
        <w:t xml:space="preserve">The concept of Explainable AI (XAI) has been getting recognition because it allows for understandable decision-making processes. Integrating XAI into the AI-enhanced CTHs framework ensures that both academic and industry collaborators can rely on and comprehend AI system decisions. XAI improves trust, provides domain-specific explanations (e.g., healthcare, cybersecurity contexts), and enables feedback loops where users refine AI recommendations over time — enhancing transparency and adaptability.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可解釋AI（XAI）的概念正獲得越來越多認可，因為它讓決策過程變得可理解。將XAI整合進CTHs框架，確保產學雙方都能信賴並理解AI系統的決策。XAI提升對AI決策的信任、提供領域專屬解釋（如醫療、網路安全情境），並建立讓使用者能持續優化AI建議的回饋迴圈，強化透明度與適應性。</w:t>
      </w:r>
    </w:p>
    <w:p>
      <w:pPr>
        <w:spacing w:after="80" w:before="200"/>
      </w:pPr>
      <w:r>
        <w:rPr>
          <w:rFonts w:ascii="PMingLiU" w:cs="PMingLiU" w:eastAsia="PMingLiU" w:hAnsi="PMingLiU"/>
          <w:b/>
          <w:bCs/>
          <w:color w:val="1A5276"/>
          <w:sz w:val="22"/>
          <w:szCs w:val="22"/>
        </w:rPr>
        <w:t xml:space="preserve">Ethical AI Considerations　倫理AI考量</w:t>
      </w:r>
    </w:p>
    <w:p>
      <w:pPr>
        <w:spacing w:after="120" w:line="276"/>
        <w:jc w:val="both"/>
      </w:pPr>
      <w:r>
        <w:rPr>
          <w:rFonts w:ascii="Times New Roman" w:cs="Times New Roman" w:eastAsia="Times New Roman" w:hAnsi="Times New Roman"/>
          <w:color w:val="000000"/>
          <w:sz w:val="20"/>
          <w:szCs w:val="20"/>
        </w:rPr>
        <w:t xml:space="preserve">The integration of AI-driven CTHs presents critical ethical challenges. A major concern is algorithmic bias in AI-powered recommendation systems, which influence partner selection, funding allocation and knowledge exchange. If AI models are trained on historically skewed datasets, they may reinforce existing academic hierarchies, favoring well-established institutions while marginalizing emerging disciplines and early-career researchers. To mitigate this, bias detection must be embedded within AI models, XAI frameworks must provide interpretable reasoning, and human-in-the-loop oversight should allow academic experts to review AI-generated suggestions. Data privacy must be addressed through differential privacy and federated learning architectures.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驅動CTHs的整合帶來重大倫理挑戰。最核心的憂慮是AI推薦系統中的演算法偏見，影響夥伴選擇、資金分配與知識交流。若AI模型以歷史上有偏差的資料集訓練，可能強化現有學術階層，使成熟機構受益，同時邊緣化新興學科與早期研究者。為降低此風險，偏見偵測應內建於AI模型；XAI框架應提供可解釋的推理；人機協作的監督機制應允許學術專家審視AI建議。資料隱私則應透過差異隱私與聯邦學習架構加以保護。</w:t>
      </w:r>
    </w:p>
    <w:p>
      <w:pPr>
        <w:pageBreakBefore/>
        <w:shd w:fill="1A5276" w:val="clear"/>
        <w:spacing w:after="200" w:before="400"/>
      </w:pPr>
      <w:r>
        <w:rPr>
          <w:rFonts w:ascii="PMingLiU" w:cs="PMingLiU" w:eastAsia="PMingLiU" w:hAnsi="PMingLiU"/>
          <w:b/>
          <w:bCs/>
          <w:color w:val="FFFFFF"/>
          <w:sz w:val="32"/>
          <w:szCs w:val="32"/>
        </w:rPr>
        <w:t xml:space="preserve">4  Discussion and Key Implications　第四節　討論與主要啟示</w:t>
      </w:r>
    </w:p>
    <w:p>
      <w:pPr>
        <w:spacing w:after="120" w:line="276"/>
        <w:jc w:val="both"/>
      </w:pPr>
      <w:r>
        <w:rPr>
          <w:rFonts w:ascii="Times New Roman" w:cs="Times New Roman" w:eastAsia="Times New Roman" w:hAnsi="Times New Roman"/>
          <w:color w:val="000000"/>
          <w:sz w:val="20"/>
          <w:szCs w:val="20"/>
        </w:rPr>
        <w:t xml:space="preserve">The use of AI models for the development of AI-enhanced CTHs brings an innovative approach to university-industry partnerships. These models greatly improve the understanding of information and decision-making processes within collaborative environments. Applying the TCM-ADO framework: Theory (T) — hybrid AI expands knowledge transfer theory by linking research to industry requirements; Context (C) — in fast-evolving fields AI enables real-time information sharing and adaptability; Methodology (M) — the framework combines ML with reasoning to ensure partnerships are effective and customized; Antecedents (A) — hybrid AI simplifies information organization and resource distribution; Decisions (D) — universities and industries opt for NLP or ML to streamline knowledge acquisition; Outcomes (O) — enhance effectiveness and expandability in sharing knowledge, boosting innovation timelines.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透過TCM-ADO框架：理論（T）上，混合AI模型融合符號AI與ML，擴展了知識轉移理論；情境（C）上，AI在快速演進領域促進即時資訊共享；方法論（M）上，框架透過系統性審查確保夥伴關係有效且客製化；前因（A）上，混合AI系統透過簡化資訊組織與強化資源分配解決核心問題；決策（D）上，產學雙方選擇NLP或ML工具以簡化知識取得；結果（O）上，重點在於強化知識共享程序的效能與可擴展性，並加速創新時程。</w:t>
      </w:r>
    </w:p>
    <w:p>
      <w:pPr>
        <w:spacing w:after="120" w:line="276"/>
        <w:jc w:val="both"/>
      </w:pPr>
      <w:r>
        <w:rPr>
          <w:rFonts w:ascii="Times New Roman" w:cs="Times New Roman" w:eastAsia="Times New Roman" w:hAnsi="Times New Roman"/>
          <w:color w:val="000000"/>
          <w:sz w:val="20"/>
          <w:szCs w:val="20"/>
        </w:rPr>
        <w:t xml:space="preserve">The practical impacts of AI-powered CTHs extend broadly. For universities, the primary advantage lies in the commercialization of research outcomes facilitated by AI which matches scholarly research results with industry demands instantly. For industries, AI-powered CTHs help to cut down costs associated with collaborations and make academic resources more accessible to smaller companies, promoting innovation. Policymakers can leverage AI-enhanced CTHs to aid national innovation strategies, ensuring research funding supports overarching economic goals such as renewable energy and healthcare advancements.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AI驅動CTHs的實際影響廣泛。對大學而言，核心優勢在於AI技術能即時將研究成果與產業需求配對，加速研究商業化；對產業而言，CTHs有助於降低協作成本，讓中小企業也能取得學術資源；對政策制定者而言，AI強化型CTHs可支援國家創新策略，確保研究資金支持整體經濟目標，如再生能源與醫療保健進步。</w:t>
      </w:r>
    </w:p>
    <w:p>
      <w:pPr>
        <w:spacing w:after="80" w:before="20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718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444444"/>
          <w:sz w:val="18"/>
          <w:szCs w:val="18"/>
        </w:rPr>
        <w:t xml:space="preserve">Fig. 1  Analysis Framework  Source: Authors</w:t>
      </w:r>
      <w:r>
        <w:rPr>
          <w:rFonts w:ascii="PMingLiU" w:cs="PMingLiU" w:eastAsia="PMingLiU" w:hAnsi="PMingLiU"/>
          <w:color w:val="1A5276"/>
          <w:sz w:val="18"/>
          <w:szCs w:val="18"/>
        </w:rPr>
        <w:t xml:space="preserve">　圖1　分析框架（AI驅動虛擬樞紐的價值創造體系）</w:t>
      </w:r>
    </w:p>
    <w:p>
      <w:pPr>
        <w:pageBreakBefore/>
        <w:shd w:fill="1A5276" w:val="clear"/>
        <w:spacing w:after="200" w:before="400"/>
      </w:pPr>
      <w:r>
        <w:rPr>
          <w:rFonts w:ascii="PMingLiU" w:cs="PMingLiU" w:eastAsia="PMingLiU" w:hAnsi="PMingLiU"/>
          <w:b/>
          <w:bCs/>
          <w:color w:val="FFFFFF"/>
          <w:sz w:val="32"/>
          <w:szCs w:val="32"/>
        </w:rPr>
        <w:t xml:space="preserve">5  Conclusion &amp; Future Directions　第五節　結論與未來研究方向</w:t>
      </w:r>
    </w:p>
    <w:p>
      <w:pPr>
        <w:spacing w:after="120" w:line="276"/>
        <w:jc w:val="both"/>
      </w:pPr>
      <w:r>
        <w:rPr>
          <w:rFonts w:ascii="Times New Roman" w:cs="Times New Roman" w:eastAsia="Times New Roman" w:hAnsi="Times New Roman"/>
          <w:color w:val="000000"/>
          <w:sz w:val="20"/>
          <w:szCs w:val="20"/>
        </w:rPr>
        <w:t xml:space="preserve">The practical implications of AI-driven CTHs for universities, businesses and policymakers are extensive. These hubs provide a method for collaboration between universities and businesses facilitating knowledge exchange, accelerating innovation processes and increasing societal influence. By utilizing AI advancements like machine learning and natural language processing, universities and businesses can break through obstacles to collaboration and establish more flexible and adaptable innovation environments. Universities benefit from simplified research commercialization; industries benefit from lower costs and research access; policymakers can promote national innovation agendas and monitor collaboration effectiveness.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AI驅動CTHs對大學、企業與政策制定者的實際影響廣泛。這些樞紐提供了產學協作的新途徑，促進知識交流、加速創新進程並擴大社會影響力。透過ML與NLP等AI技術，大學與企業得以突破協作障礙，建立更靈活、更具適應性的創新環境。大學受益於更簡化的研究成果商業化流程；產業則發現這些樞紐有助於降低合作成本並取得最新研究資源；政策制定者則可藉此推動國家創新議程並監測協作成效。</w:t>
      </w:r>
    </w:p>
    <w:p>
      <w:pPr>
        <w:spacing w:after="120" w:line="276"/>
        <w:jc w:val="both"/>
      </w:pPr>
      <w:r>
        <w:rPr>
          <w:rFonts w:ascii="Times New Roman" w:cs="Times New Roman" w:eastAsia="Times New Roman" w:hAnsi="Times New Roman"/>
          <w:color w:val="000000"/>
          <w:sz w:val="20"/>
          <w:szCs w:val="20"/>
        </w:rPr>
        <w:t xml:space="preserve">One of the limitations of the current study is that its main emphasis has been on machine learning and natural language processing as AI technologies for CTHs. However, upcoming investigations might probe into other AI-based tools like computer vision or blockchain. Further studies could also investigate how AI-improved CTHs influence innovation results in the long run. Research could look into how AI-powered CTHs can be managed to maintain openness and responsibility — especially concerning data privacy, biases and the need for transparency — particularly when AI-driven choices hold economic consequences.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本研究的主要限制在於聚焦ML與NLP兩種AI技術，未來研究可探索電腦視覺或區塊鏈等其他AI工具的潛力。此外，未來研究可深入探討AI強化型CTHs對長期創新成果的影響，以及如何在AI驅動決策具有經濟後果的情況下，有效管理CTHs以維持透明度與問責性——特別是在資料隱私、偏見與公平性等倫理議題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827de989bed39a1a7f91ca920d25016ba74f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2026-06-24T08:39:49.204Z</dcterms:created>
  <dcterms:modified xsi:type="dcterms:W3CDTF">2026-06-24T08:39:49.204Z</dcterms:modified>
</cp:coreProperties>
</file>

<file path=docProps/custom.xml><?xml version="1.0" encoding="utf-8"?>
<Properties xmlns="http://schemas.openxmlformats.org/officeDocument/2006/custom-properties" xmlns:vt="http://schemas.openxmlformats.org/officeDocument/2006/docPropsVTypes"/>
</file>