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240"/>
        <w:jc w:val="center"/>
      </w:pPr>
      <w:r>
        <w:rPr>
          <w:rFonts w:ascii="Noto Sans CJK TC" w:hAnsi="Noto Sans CJK TC" w:eastAsia="Noto Sans CJK TC"/>
          <w:b/>
          <w:color w:val="B7794D"/>
          <w:sz w:val="22"/>
        </w:rPr>
        <w:t>A13｜論文研讀庫</w:t>
      </w:r>
    </w:p>
    <w:p>
      <w:pPr>
        <w:spacing w:after="160"/>
        <w:jc w:val="center"/>
      </w:pPr>
      <w:r>
        <w:rPr>
          <w:rFonts w:ascii="Noto Sans CJK TC" w:hAnsi="Noto Sans CJK TC" w:eastAsia="Noto Sans CJK TC"/>
          <w:b/>
          <w:color w:val="2F6B57"/>
          <w:sz w:val="50"/>
        </w:rPr>
        <w:t>The Vocabulary Problem in Human-System Communication</w:t>
      </w:r>
    </w:p>
    <w:p>
      <w:pPr>
        <w:spacing w:after="440"/>
        <w:jc w:val="center"/>
      </w:pPr>
      <w:r>
        <w:rPr>
          <w:rFonts w:ascii="Noto Sans CJK TC" w:hAnsi="Noto Sans CJK TC" w:eastAsia="Noto Sans CJK TC"/>
          <w:b w:val="0"/>
          <w:color w:val="4C4C4C"/>
          <w:sz w:val="28"/>
        </w:rPr>
        <w:t>口語研讀摘要｜人機溝通中的詞彙問題</w:t>
      </w:r>
    </w:p>
    <w:p>
      <w:pPr>
        <w:spacing w:line="348" w:lineRule="auto" w:after="640"/>
        <w:jc w:val="center"/>
      </w:pPr>
      <w:r>
        <w:rPr>
          <w:rFonts w:ascii="Noto Sans CJK TC" w:hAnsi="Noto Sans CJK TC" w:eastAsia="Noto Sans CJK TC"/>
          <w:b w:val="0"/>
          <w:color w:val="555555"/>
          <w:sz w:val="21"/>
        </w:rPr>
        <w:t>G. W. Furnas · T. K. Landauer · L. M. Gomez · S. T. Dumais</w:t>
        <w:br/>
        <w:t>Communications of the ACM, 30(11), 964-971 · 1987</w:t>
        <w:br/>
        <w:t>DOI: 10.1145/32206.32212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</w:tblGrid>
      <w:tr>
        <w:tc>
          <w:tcPr>
            <w:tcW w:type="dxa" w:w="8208"/>
            <w:vAlign w:val="center"/>
            <w:shd w:fill="EAF4E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285943"/>
                <w:sz w:val="21"/>
              </w:rPr>
              <w:t>逐段中英對照｜保留原始頁面、圖表與圖說｜另附口語研讀摘要</w:t>
            </w:r>
          </w:p>
        </w:tc>
      </w:tr>
    </w:tbl>
    <w:p>
      <w:r>
        <w:br w:type="page"/>
      </w:r>
    </w:p>
    <w:p>
      <w:pPr>
        <w:pStyle w:val="Heading1"/>
      </w:pPr>
      <w:r>
        <w:t>先講結論</w:t>
      </w:r>
    </w:p>
    <w:p>
      <w:pPr>
        <w:pStyle w:val="ChineseTranslation"/>
      </w:pPr>
      <w:r>
        <w:rPr>
          <w:rFonts w:ascii="Noto Sans CJK TC" w:hAnsi="Noto Sans CJK TC" w:eastAsia="Noto Sans CJK TC"/>
          <w:b/>
          <w:color w:val="285943"/>
          <w:sz w:val="23"/>
        </w:rPr>
        <w:t>這篇論文最重要的提醒是：使用者不是『不會搜尋』，而是人本來就會用非常不同的詞描述同一件事。若系統只接受設計者想到的少數名稱，第一次存取很容易失敗；改善方向是累積大量別名、按實際使用頻率加權，並在模糊時讓使用者消歧義。</w:t>
      </w:r>
    </w:p>
    <w:p>
      <w:pPr>
        <w:pStyle w:val="Heading1"/>
      </w:pPr>
      <w:r>
        <w:t>這篇為什麼值得看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它是 1987 年的人機互動經典研究，直接用資料回答『為什麼使用者明明知道自己要什麼，卻找不到系統裡的東西』。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它把搜尋失敗從『使用者用錯字』改寫成『系統沒有涵蓋人類真實詞彙變異』，這個視角和今日的查詢擴展、同義詞庫、語意搜尋仍高度相關。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它提供可量化的基準：兩人對同一項目想到同一詞的機率很低，設計者憑直覺選一個名稱並不可靠。</w:t>
      </w:r>
    </w:p>
    <w:p>
      <w:pPr>
        <w:pStyle w:val="Heading1"/>
      </w:pPr>
      <w:r>
        <w:t>它到底提出什麼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先否定單一『自然、明顯、自證』名稱的神話：即使挑出最常見的詞，多數情境仍有 65%-85% 的第一次失敗。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少量別名有幫助，但邊際效益很快下降；要得到真正可用的覆蓋率，需要遠多於一般設計者直覺上會配置的替代詞。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設計觀點要從 item-centered 轉向 word-centered：不要只問『這個項目該叫什麼』，而要問『使用者可能輸入哪些詞，而每個詞最可能指向什麼』。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不限量別名不是直接執行所有猜測。當一個詞可能指向多個項目時，系統應回傳少量候選，讓使用者辨識與消歧義。</w:t>
      </w:r>
    </w:p>
    <w:p>
      <w:pPr>
        <w:pStyle w:val="Heading1"/>
      </w:pPr>
      <w:r>
        <w:t>證據與方法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研究涵蓋五個應用領域、六組資料集：Editor-5 與 Editor-25 同屬文字編輯領域，另外還有 Decoder、Common Objects、Classifieds、Recipe Keywords；樣本來源包含 48 位打字員、100 位系統設計者、337 位大學生、30 位家庭主婦，以及 8 位專業廚師與 16 位家庭主婦。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Results Table I（p.966）：兩人對同一項目使用相同詞的機率依序為 .07、.11、.08、.12、.14、.18。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Results Table II（p.967）：即使使用最常見的單一詞，各資料集命中率估計約 .15-.36，換言之仍常失敗。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Results Tables III-IV（p.967）：三個直覺別名的命中率約 .20-.45；三個最熱門別名約 .37-.67。Figure 2（p.967）與 p.968 正文顯示，即使 15 個最佳別名，Common Objects 也大約只能涵蓋 60%-80% 的嘗試。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Results Table V（p.968）：同一詞兩次使用時指向相同項目的機率落差很大，從 Recipe Keywords 的 .13 到 Decoder 的 .73，顯示別名覆蓋與精確率必須一起處理。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Results Table VI（p.969）：理想資料下，成功前的中位猜測數多半為 1，Editor-25 為 3、Recipe Keywords 為 4；各領域項目數分別為 5、25、12、50、64、188。以一半資料重估時，表現約下降三分之一；Classifieds 只用 8 位受試者資料時腰斬，Common Objects 用 178 位資料時降三分之一，Editor-5 用 24 位資料時僅降 10%。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作者用實際詞彙使用資料建立 word-object 頻率表，再模擬不同命名與別名策略，而不是只比較兩個既有介面。</w:t>
      </w:r>
    </w:p>
    <w:p>
      <w:pPr>
        <w:pStyle w:val="Heading1"/>
      </w:pPr>
      <w:r>
        <w:t>和 Tarshar 的知識管理／語意搜尋研究有什麼關係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可作為『關鍵字搜尋為何漏找』的理論與實證前史：問題不只在文件內容，也在查詢詞與索引詞沒有對上。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可支撐同義詞庫、別名表、查詢擴展、使用紀錄回饋等設計需求；尤其適合解釋為什麼知識庫要吸收第一線使用者真實用語。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可把今日語意搜尋理解成更進一步的 word-centered 機制：不只記錄字面別名，也用向量語意找相近表達。不過這是延伸解讀，原文沒有討論 embedding、RAG 或生成式 AI。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評估時可沿用它的問題意識：測第一次命中、Top-k 候選內是否找到、需要幾次消歧義，以及新詞出現率；再與 A12 的 on-topic rate 或現代檢索指標銜接。</w:t>
      </w:r>
    </w:p>
    <w:p>
      <w:pPr>
        <w:pStyle w:val="Heading1"/>
      </w:pPr>
      <w:r>
        <w:t>作者提出的三條實作路徑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快速蒐集：找 4-8 位代表性使用者，每人為每個項目提供 3-6 個詞；Gomez 與 Lochbaum [5] 的小型互動檢索實驗得到四倍提升。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從內容自動擷取：文字型資料可用全文索引抽取多個存取詞；作者在食譜研究中觀察到文本包含約 80% 的使用者關鍵詞。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使用中自適應：系統從一般索引開始，將使用者曾失敗但最後成功找到目標的詞，在使用者同意後加入詞-項目使用表；作者指出文獻 [9][10] 已有部分先例。</w:t>
      </w:r>
    </w:p>
    <w:p>
      <w:pPr>
        <w:pStyle w:val="Heading1"/>
      </w:pPr>
      <w:r>
        <w:t>限制與不能過度推論的地方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研究發表於 1987 年，資料集規模約 5-200 個項目，不能直接代表今日大型、多語言、跨模態知識庫。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它研究的是詞彙驅動存取與第一次嘗試，沒有比較 BM25、向量嵌入、重排序器或 RAG，也不能直接證明生成式 AI 的效果。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不限量別名的理想表現依賴大量真實 word-object 使用資料；資料不足時，新詞與錯誤對應仍會造成失敗。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較高召回可能帶來歧義，因此高風險命令不能只靠系統猜測，必須設計確認與消歧義。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部分結論來自模擬與早期互動系統實驗；引用具體成效時要保留資料集、樣本與假設。</w:t>
      </w:r>
    </w:p>
    <w:p>
      <w:pPr>
        <w:pStyle w:val="Heading1"/>
      </w:pPr>
      <w:r>
        <w:t>引用前要回原文核對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命中率、機率與倍數：回到 Results Tables I-VI（印刷頁 966-969）。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『三到五倍』改善：回到摘要與作者描述的模擬／直接實驗脈絡，不要寫成所有系統都必然提升。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Figure 2 的 15 個別名與 60%-80%：這是 Common Objects 資料的估計範圍，不是所有領域的固定值。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『50%-100% 命中率』：原文限定在不限量別名、前三次猜測、且依領域與蒐集資料量而異。</w:t>
      </w:r>
    </w:p>
    <w:p>
      <w:pPr>
        <w:pStyle w:val="ListBullet"/>
        <w:ind w:left="432" w:hanging="230"/>
      </w:pPr>
      <w:r>
        <w:rPr>
          <w:rFonts w:ascii="Noto Sans CJK TC" w:hAnsi="Noto Sans CJK TC" w:eastAsia="Noto Sans CJK TC"/>
          <w:b w:val="0"/>
          <w:color w:val="2B2B2B"/>
          <w:sz w:val="21"/>
        </w:rPr>
        <w:t>現代語意搜尋、向量資料庫與 RAG 的連結屬於本次研讀延伸，不是作者原始主張。</w:t>
      </w:r>
    </w:p>
    <w:p>
      <w:pPr>
        <w:pStyle w:val="Heading1"/>
      </w:pPr>
      <w:r>
        <w:t>建議放進自己論文的位置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DEDE5"/>
          </w:tcPr>
          <w:p>
            <w:r>
              <w:t>章節位置</w:t>
            </w:r>
          </w:p>
        </w:tc>
        <w:tc>
          <w:tcPr>
            <w:tcW w:type="dxa" w:w="4896"/>
            <w:shd w:fill="DDEDE5"/>
          </w:tcPr>
          <w:p>
            <w:r>
              <w:t>可支撐的主張</w:t>
            </w:r>
          </w:p>
        </w:tc>
      </w:tr>
      <w:tr>
        <w:tc>
          <w:tcPr>
            <w:tcW w:type="dxa" w:w="4896"/>
          </w:tcPr>
          <w:p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第一章｜研究動機</w:t>
            </w:r>
          </w:p>
        </w:tc>
        <w:tc>
          <w:tcPr>
            <w:tcW w:type="dxa" w:w="4896"/>
          </w:tcPr>
          <w:p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說明使用者詞彙與系統索引不一致，是知識檢索失敗的根本來源之一。</w:t>
            </w:r>
          </w:p>
        </w:tc>
      </w:tr>
      <w:tr>
        <w:tc>
          <w:tcPr>
            <w:tcW w:type="dxa" w:w="4896"/>
          </w:tcPr>
          <w:p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第二章｜資訊檢索與人機互動</w:t>
            </w:r>
          </w:p>
        </w:tc>
        <w:tc>
          <w:tcPr>
            <w:tcW w:type="dxa" w:w="4896"/>
          </w:tcPr>
          <w:p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作為查詢詞變異、別名、召回／精確率與消歧義的經典來源。</w:t>
            </w:r>
          </w:p>
        </w:tc>
      </w:tr>
      <w:tr>
        <w:tc>
          <w:tcPr>
            <w:tcW w:type="dxa" w:w="4896"/>
          </w:tcPr>
          <w:p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第三章｜評估設計</w:t>
            </w:r>
          </w:p>
        </w:tc>
        <w:tc>
          <w:tcPr>
            <w:tcW w:type="dxa" w:w="4896"/>
          </w:tcPr>
          <w:p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轉化為 first-try hit、Top-k hit、猜測次數、新詞率與消歧義成本等指標。</w:t>
            </w:r>
          </w:p>
        </w:tc>
      </w:tr>
      <w:tr>
        <w:tc>
          <w:tcPr>
            <w:tcW w:type="dxa" w:w="4896"/>
          </w:tcPr>
          <w:p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討論章｜現代延伸</w:t>
            </w:r>
          </w:p>
        </w:tc>
        <w:tc>
          <w:tcPr>
            <w:tcW w:type="dxa" w:w="4896"/>
          </w:tcPr>
          <w:p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比較人工別名、全文索引、語意向量與使用回饋式自適應索引的差異。</w:t>
            </w:r>
          </w:p>
        </w:tc>
      </w:tr>
    </w:tbl>
    <w:p>
      <w:pPr>
        <w:pStyle w:val="Heading1"/>
      </w:pPr>
      <w:r>
        <w:t>正式書目</w:t>
      </w:r>
    </w:p>
    <w:p>
      <w:r>
        <w:rPr>
          <w:rFonts w:ascii="Noto Sans CJK TC" w:hAnsi="Noto Sans CJK TC" w:eastAsia="Noto Sans CJK TC"/>
          <w:b w:val="0"/>
          <w:color w:val="2B2B2B"/>
          <w:sz w:val="21"/>
        </w:rPr>
        <w:t>Furnas, G. W., Landauer, T. K., Gomez, L. M., &amp; Dumais, S. T. (1987). The vocabulary problem in human-system communication. Communications of the ACM, 30(11), 964-971. https://doi.org/10.1145/32206.32212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5D756B"/>
        <w:sz w:val="17"/>
      </w:rPr>
      <w:t xml:space="preserve">🍀 Learn AI with Tarshar | 2026   •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TC" w:hAnsi="Noto Sans CJK TC" w:eastAsia="Noto Sans CJK TC"/>
        <w:b w:val="0"/>
        <w:color w:val="6A6A6A"/>
        <w:sz w:val="17"/>
      </w:rPr>
      <w:t>A13｜The Vocabulary Problem｜研讀摘要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6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8B5E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Body">
    <w:name w:val="EnglishBody"/>
    <w:basedOn w:val="Normal"/>
    <w:pPr>
      <w:spacing w:after="60" w:line="269" w:lineRule="auto"/>
    </w:pPr>
    <w:rPr>
      <w:rFonts w:ascii="Noto Sans CJK TC" w:hAnsi="Noto Sans CJK TC" w:eastAsia="Noto Sans CJK TC"/>
      <w:color w:val="2B2B2B"/>
      <w:sz w:val="19"/>
    </w:rPr>
  </w:style>
  <w:style w:type="paragraph" w:customStyle="1" w:styleId="ChineseTranslation">
    <w:name w:val="ChineseTranslation"/>
    <w:basedOn w:val="Normal"/>
    <w:pPr>
      <w:spacing w:after="200" w:line="300" w:lineRule="auto"/>
      <w:ind w:left="202"/>
    </w:pPr>
    <w:rPr>
      <w:rFonts w:ascii="Noto Sans CJK TC" w:hAnsi="Noto Sans CJK TC" w:eastAsia="Noto Sans CJK TC"/>
      <w:color w:val="28594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