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2849"/>
        <w:gridCol w:w="6820"/>
      </w:tblGrid>
      <w:tr w:rsidR="00B63FC8" w:rsidRPr="0009742D" w14:paraId="6B9ED276" w14:textId="77777777" w:rsidTr="009B13C5">
        <w:trPr>
          <w:trHeight w:val="2607"/>
        </w:trPr>
        <w:tc>
          <w:tcPr>
            <w:tcW w:w="2849" w:type="dxa"/>
          </w:tcPr>
          <w:p w14:paraId="2B2639B1" w14:textId="77777777" w:rsidR="00B63FC8" w:rsidRPr="0009742D" w:rsidRDefault="00B63FC8" w:rsidP="009B13C5">
            <w:pPr>
              <w:spacing w:after="260" w:line="360" w:lineRule="auto"/>
              <w:jc w:val="both"/>
              <w:rPr>
                <w:rFonts w:eastAsia="Arial"/>
                <w:color w:val="000000"/>
              </w:rPr>
            </w:pPr>
            <w:r w:rsidRPr="0009742D">
              <w:rPr>
                <w:rFonts w:eastAsia="Arial"/>
                <w:b/>
                <w:color w:val="000000"/>
              </w:rPr>
              <w:t>Espaço pictural</w:t>
            </w:r>
          </w:p>
        </w:tc>
        <w:tc>
          <w:tcPr>
            <w:tcW w:w="6820" w:type="dxa"/>
          </w:tcPr>
          <w:p w14:paraId="747FF31F" w14:textId="77777777" w:rsidR="00B63FC8" w:rsidRPr="0033184B" w:rsidRDefault="00B63FC8" w:rsidP="009B13C5">
            <w:pPr>
              <w:spacing w:after="260" w:line="360" w:lineRule="auto"/>
              <w:jc w:val="both"/>
              <w:rPr>
                <w:rFonts w:eastAsia="Arial"/>
                <w:color w:val="000000"/>
                <w:lang w:val="pt-BR"/>
              </w:rPr>
            </w:pPr>
            <w:r w:rsidRPr="00530FC4">
              <w:rPr>
                <w:rFonts w:eastAsia="Arial"/>
                <w:color w:val="000000"/>
                <w:highlight w:val="green"/>
                <w:lang w:val="pt-BR"/>
              </w:rPr>
              <w:t xml:space="preserve">Associado ao enquadramento e aos diferentes elementos plásticos </w:t>
            </w:r>
            <w:r>
              <w:rPr>
                <w:rFonts w:eastAsia="Arial"/>
                <w:color w:val="000000"/>
                <w:highlight w:val="green"/>
                <w:lang w:val="pt-BR"/>
              </w:rPr>
              <w:t xml:space="preserve">como os da </w:t>
            </w:r>
            <w:r w:rsidRPr="00530FC4">
              <w:rPr>
                <w:rFonts w:eastAsia="Arial"/>
                <w:color w:val="000000"/>
                <w:highlight w:val="green"/>
                <w:lang w:val="pt-BR"/>
              </w:rPr>
              <w:t>pintura – a iluminação, o desenho e as formas.</w:t>
            </w:r>
            <w:r>
              <w:rPr>
                <w:rFonts w:eastAsia="Arial"/>
                <w:color w:val="000000"/>
                <w:lang w:val="pt-BR"/>
              </w:rPr>
              <w:t xml:space="preserve"> </w:t>
            </w:r>
            <w:r w:rsidRPr="00530FC4">
              <w:rPr>
                <w:rFonts w:eastAsia="Arial"/>
                <w:color w:val="000000"/>
                <w:highlight w:val="green"/>
                <w:lang w:val="pt-BR"/>
              </w:rPr>
              <w:t>Um fotograma qualquer extraído do filme Murnau, ainda que destituído de seu movimento, “sustenta-se”, mantendo-se forte e belo como um quadro</w:t>
            </w:r>
            <w:r w:rsidRPr="00266005">
              <w:rPr>
                <w:rFonts w:eastAsia="Arial"/>
                <w:color w:val="000000"/>
                <w:highlight w:val="green"/>
                <w:lang w:val="pt-BR"/>
              </w:rPr>
              <w:t>. R</w:t>
            </w:r>
            <w:r w:rsidRPr="00266005">
              <w:rPr>
                <w:highlight w:val="green"/>
                <w:lang w:val="pt-BR"/>
              </w:rPr>
              <w:t xml:space="preserve">aros cineastas, tais como Murnau, Eisenstein e </w:t>
            </w:r>
            <w:proofErr w:type="spellStart"/>
            <w:r w:rsidRPr="00266005">
              <w:rPr>
                <w:highlight w:val="green"/>
                <w:lang w:val="pt-BR"/>
              </w:rPr>
              <w:t>Dreyer</w:t>
            </w:r>
            <w:proofErr w:type="spellEnd"/>
            <w:r w:rsidRPr="00266005">
              <w:rPr>
                <w:highlight w:val="green"/>
                <w:lang w:val="pt-BR"/>
              </w:rPr>
              <w:t>, têm uma “real e profunda cultura pictórica”, “cuja concepção fotográfica deve mais à pintura dos museus que ao imaginário popular”.</w:t>
            </w:r>
          </w:p>
        </w:tc>
      </w:tr>
      <w:tr w:rsidR="00B63FC8" w:rsidRPr="0009742D" w14:paraId="1AABFB70" w14:textId="77777777" w:rsidTr="009B13C5">
        <w:trPr>
          <w:trHeight w:val="4598"/>
        </w:trPr>
        <w:tc>
          <w:tcPr>
            <w:tcW w:w="2849" w:type="dxa"/>
          </w:tcPr>
          <w:p w14:paraId="46FCEFC7" w14:textId="77777777" w:rsidR="00B63FC8" w:rsidRPr="0009742D" w:rsidRDefault="00B63FC8" w:rsidP="009B13C5">
            <w:pPr>
              <w:spacing w:after="260" w:line="360" w:lineRule="auto"/>
              <w:jc w:val="both"/>
              <w:rPr>
                <w:rFonts w:eastAsia="Arial"/>
                <w:color w:val="000000"/>
              </w:rPr>
            </w:pPr>
            <w:r w:rsidRPr="0009742D">
              <w:rPr>
                <w:rFonts w:eastAsia="Arial"/>
                <w:b/>
                <w:color w:val="000000"/>
              </w:rPr>
              <w:t>Espaço arquitetural</w:t>
            </w:r>
          </w:p>
        </w:tc>
        <w:tc>
          <w:tcPr>
            <w:tcW w:w="6820" w:type="dxa"/>
          </w:tcPr>
          <w:p w14:paraId="70878952" w14:textId="77777777" w:rsidR="00B63FC8" w:rsidRPr="00266005" w:rsidRDefault="00B63FC8" w:rsidP="009B13C5">
            <w:pPr>
              <w:spacing w:after="260" w:line="360" w:lineRule="auto"/>
              <w:jc w:val="both"/>
              <w:rPr>
                <w:rFonts w:eastAsia="Arial"/>
                <w:color w:val="000000"/>
                <w:highlight w:val="green"/>
                <w:lang w:val="pt-BR"/>
              </w:rPr>
            </w:pPr>
            <w:r>
              <w:rPr>
                <w:rFonts w:eastAsia="Arial"/>
                <w:color w:val="000000"/>
                <w:highlight w:val="green"/>
                <w:lang w:val="pt-BR"/>
              </w:rPr>
              <w:t xml:space="preserve">A </w:t>
            </w:r>
            <w:r w:rsidRPr="00266005">
              <w:rPr>
                <w:rFonts w:eastAsia="Arial"/>
                <w:color w:val="000000"/>
                <w:highlight w:val="green"/>
                <w:lang w:val="pt-BR"/>
              </w:rPr>
              <w:t>forma de um edifício, forma de um objeto</w:t>
            </w:r>
            <w:r>
              <w:rPr>
                <w:rFonts w:eastAsia="Arial"/>
                <w:color w:val="000000"/>
                <w:highlight w:val="green"/>
                <w:lang w:val="pt-BR"/>
              </w:rPr>
              <w:t xml:space="preserve"> ou a </w:t>
            </w:r>
            <w:r w:rsidRPr="00266005">
              <w:rPr>
                <w:rFonts w:eastAsia="Arial"/>
                <w:color w:val="000000"/>
                <w:highlight w:val="green"/>
                <w:lang w:val="pt-BR"/>
              </w:rPr>
              <w:t xml:space="preserve">forma de uma paisagem, </w:t>
            </w:r>
            <w:r>
              <w:rPr>
                <w:rFonts w:eastAsia="Arial"/>
                <w:color w:val="000000"/>
                <w:highlight w:val="green"/>
                <w:lang w:val="pt-BR"/>
              </w:rPr>
              <w:t xml:space="preserve">propostas ao olhar, </w:t>
            </w:r>
            <w:r w:rsidRPr="00266005">
              <w:rPr>
                <w:rFonts w:eastAsia="Arial"/>
                <w:color w:val="000000"/>
                <w:highlight w:val="green"/>
                <w:lang w:val="pt-BR"/>
              </w:rPr>
              <w:t>possu</w:t>
            </w:r>
            <w:r>
              <w:rPr>
                <w:rFonts w:eastAsia="Arial"/>
                <w:color w:val="000000"/>
                <w:highlight w:val="green"/>
                <w:lang w:val="pt-BR"/>
              </w:rPr>
              <w:t>em</w:t>
            </w:r>
            <w:r w:rsidRPr="00266005">
              <w:rPr>
                <w:rFonts w:eastAsia="Arial"/>
                <w:color w:val="000000"/>
                <w:highlight w:val="green"/>
                <w:lang w:val="pt-BR"/>
              </w:rPr>
              <w:t xml:space="preserve"> uma função. Seu objetivo é não apenas refazer a natureza, mas enriquecê-la com aquisições novas. O cenário pesa sobre as atitudes dos personagens. Os objetos servem como uma compensação “imóvel” à mobilidade humana na tela e a troca de figurino, a exemplo de Fausto, corresponde quase sempre a uma transformação profunda do ser. Para Rohmer só existem duas maneiras nobres de se representar o modelo humano: o nu e o drapeado. </w:t>
            </w:r>
          </w:p>
        </w:tc>
      </w:tr>
      <w:tr w:rsidR="00B63FC8" w:rsidRPr="0009742D" w14:paraId="0A59056D" w14:textId="77777777" w:rsidTr="009B13C5">
        <w:trPr>
          <w:trHeight w:val="2607"/>
        </w:trPr>
        <w:tc>
          <w:tcPr>
            <w:tcW w:w="2849" w:type="dxa"/>
          </w:tcPr>
          <w:p w14:paraId="52D9B9D9" w14:textId="77777777" w:rsidR="00B63FC8" w:rsidRPr="0009742D" w:rsidRDefault="00B63FC8" w:rsidP="009B13C5">
            <w:pPr>
              <w:spacing w:after="260" w:line="360" w:lineRule="auto"/>
              <w:jc w:val="both"/>
              <w:rPr>
                <w:rFonts w:eastAsia="Arial"/>
                <w:color w:val="000000"/>
              </w:rPr>
            </w:pPr>
            <w:r w:rsidRPr="0009742D">
              <w:rPr>
                <w:rFonts w:eastAsia="Arial"/>
                <w:b/>
                <w:color w:val="000000"/>
              </w:rPr>
              <w:t>Espaço fílmico</w:t>
            </w:r>
          </w:p>
        </w:tc>
        <w:tc>
          <w:tcPr>
            <w:tcW w:w="6820" w:type="dxa"/>
          </w:tcPr>
          <w:p w14:paraId="05BBA296" w14:textId="77777777" w:rsidR="00B63FC8" w:rsidRPr="0033184B" w:rsidRDefault="00B63FC8" w:rsidP="009B13C5">
            <w:pPr>
              <w:keepNext/>
              <w:spacing w:after="260" w:line="360" w:lineRule="auto"/>
              <w:jc w:val="both"/>
              <w:rPr>
                <w:rFonts w:eastAsia="Arial"/>
                <w:color w:val="000000"/>
                <w:lang w:val="pt-BR"/>
              </w:rPr>
            </w:pPr>
            <w:r w:rsidRPr="00266005">
              <w:rPr>
                <w:rFonts w:eastAsia="Arial"/>
                <w:color w:val="000000"/>
                <w:highlight w:val="green"/>
                <w:lang w:val="pt-BR"/>
              </w:rPr>
              <w:t>Não é do espaço filmado que o espectador tem a ilusão, mas de um espaço virtual reconstituído pela decupagem e montagem. As elipses geradas por este processo e a ação acontecendo, em vez de concluída, são “um meio de chegar mais rápido ao essencial, para saltar por cima do tempo oco e dos espaços amorfos”. O movimento do motivo filmado, e as direções na construção do espaço fílmico têm privilégio em relação ao tempo como elemento essencial do cinema.</w:t>
            </w:r>
          </w:p>
        </w:tc>
      </w:tr>
    </w:tbl>
    <w:p w14:paraId="1EAE5599" w14:textId="77777777" w:rsidR="00541C2E" w:rsidRDefault="00541C2E"/>
    <w:sectPr w:rsidR="00541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335"/>
    <w:multiLevelType w:val="multilevel"/>
    <w:tmpl w:val="E8A47B32"/>
    <w:styleLink w:val="Style2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ascii="Times New Roman" w:hAnsi="Times New Roman" w:hint="default"/>
        <w:b w:val="0"/>
        <w:i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E629DA"/>
    <w:multiLevelType w:val="multilevel"/>
    <w:tmpl w:val="0409001D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6133386">
    <w:abstractNumId w:val="1"/>
  </w:num>
  <w:num w:numId="2" w16cid:durableId="2122919419">
    <w:abstractNumId w:val="0"/>
  </w:num>
  <w:num w:numId="3" w16cid:durableId="59154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C8"/>
    <w:rsid w:val="00541C2E"/>
    <w:rsid w:val="00A81E52"/>
    <w:rsid w:val="00B63FC8"/>
    <w:rsid w:val="00BA0C76"/>
    <w:rsid w:val="00BF0C5B"/>
    <w:rsid w:val="00C31615"/>
    <w:rsid w:val="00E7446B"/>
    <w:rsid w:val="00EF4685"/>
    <w:rsid w:val="00F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2BF83C"/>
  <w15:chartTrackingRefBased/>
  <w15:docId w15:val="{C1E81FEB-F9E7-5941-9C16-DCB848A3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1615"/>
    <w:pPr>
      <w:keepNext/>
      <w:keepLines/>
      <w:numPr>
        <w:numId w:val="12"/>
      </w:numPr>
      <w:tabs>
        <w:tab w:val="clear" w:pos="360"/>
        <w:tab w:val="num" w:pos="431"/>
      </w:tabs>
      <w:spacing w:before="240"/>
      <w:ind w:left="432" w:hanging="432"/>
      <w:outlineLvl w:val="0"/>
    </w:pPr>
    <w:rPr>
      <w:rFonts w:asciiTheme="minorHAnsi" w:hAnsiTheme="minorHAnsi" w:cstheme="minorBidi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qFormat/>
    <w:rsid w:val="00E7446B"/>
    <w:pPr>
      <w:pBdr>
        <w:top w:val="nil"/>
        <w:left w:val="nil"/>
        <w:bottom w:val="nil"/>
        <w:right w:val="nil"/>
        <w:between w:val="nil"/>
        <w:bar w:val="nil"/>
      </w:pBdr>
    </w:pPr>
    <w:rPr>
      <w:noProof/>
      <w:bdr w:val="nil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31615"/>
    <w:rPr>
      <w:rFonts w:eastAsia="Times New Roman"/>
      <w:b/>
      <w:bCs/>
      <w:color w:val="000000"/>
      <w:u w:color="000000"/>
      <w:lang w:val="en-US"/>
    </w:rPr>
  </w:style>
  <w:style w:type="paragraph" w:styleId="TOCHeading">
    <w:name w:val="TOC Heading"/>
    <w:basedOn w:val="Normal"/>
    <w:next w:val="TOC1"/>
    <w:autoRedefine/>
    <w:uiPriority w:val="39"/>
    <w:qFormat/>
    <w:rsid w:val="00C31615"/>
    <w:pPr>
      <w:keepNext/>
      <w:keepLines/>
      <w:spacing w:before="480" w:line="276" w:lineRule="auto"/>
    </w:pPr>
    <w:rPr>
      <w:color w:val="000000"/>
      <w:szCs w:val="28"/>
      <w:u w:color="000000"/>
      <w:lang w:val="pt-PT"/>
    </w:rPr>
  </w:style>
  <w:style w:type="numbering" w:customStyle="1" w:styleId="Style2">
    <w:name w:val="Style2"/>
    <w:basedOn w:val="NoList"/>
    <w:uiPriority w:val="99"/>
    <w:rsid w:val="00E7446B"/>
    <w:pPr>
      <w:numPr>
        <w:numId w:val="2"/>
      </w:numPr>
    </w:pPr>
  </w:style>
  <w:style w:type="paragraph" w:styleId="TOC1">
    <w:name w:val="toc 1"/>
    <w:basedOn w:val="Normal"/>
    <w:next w:val="Style1"/>
    <w:autoRedefine/>
    <w:uiPriority w:val="39"/>
    <w:qFormat/>
    <w:rsid w:val="00C31615"/>
    <w:pPr>
      <w:spacing w:before="120"/>
    </w:pPr>
    <w:rPr>
      <w:bCs/>
      <w:iCs/>
    </w:rPr>
  </w:style>
  <w:style w:type="paragraph" w:customStyle="1" w:styleId="Style6">
    <w:name w:val="Style6"/>
    <w:basedOn w:val="TOCHeading"/>
    <w:next w:val="Style1"/>
    <w:autoRedefine/>
    <w:qFormat/>
    <w:rsid w:val="00E7446B"/>
  </w:style>
  <w:style w:type="paragraph" w:styleId="Caption">
    <w:name w:val="caption"/>
    <w:aliases w:val="SUMÁRIO"/>
    <w:basedOn w:val="TOCHeading"/>
    <w:next w:val="TOC1"/>
    <w:autoRedefine/>
    <w:uiPriority w:val="35"/>
    <w:unhideWhenUsed/>
    <w:qFormat/>
    <w:rsid w:val="00C31615"/>
    <w:pPr>
      <w:spacing w:after="200"/>
    </w:pPr>
    <w:rPr>
      <w:iCs/>
      <w:color w:val="44546A" w:themeColor="text2"/>
      <w:szCs w:val="18"/>
      <w:lang w:val="pt-BR" w:eastAsia="pt-BR"/>
    </w:rPr>
  </w:style>
  <w:style w:type="paragraph" w:customStyle="1" w:styleId="ListadeFiguras">
    <w:name w:val="Lista de Figuras"/>
    <w:basedOn w:val="TOC1"/>
    <w:next w:val="TOC1"/>
    <w:autoRedefine/>
    <w:qFormat/>
    <w:rsid w:val="00C31615"/>
  </w:style>
  <w:style w:type="table" w:styleId="TableGrid">
    <w:name w:val="Table Grid"/>
    <w:basedOn w:val="TableNormal"/>
    <w:uiPriority w:val="39"/>
    <w:rsid w:val="00B63FC8"/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Fernandes</dc:creator>
  <cp:keywords/>
  <dc:description/>
  <cp:lastModifiedBy>Odette Fernandes</cp:lastModifiedBy>
  <cp:revision>1</cp:revision>
  <dcterms:created xsi:type="dcterms:W3CDTF">2022-07-21T10:26:00Z</dcterms:created>
  <dcterms:modified xsi:type="dcterms:W3CDTF">2022-07-21T10:28:00Z</dcterms:modified>
</cp:coreProperties>
</file>