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aps/>
          <w:color w:val="1a2744"/>
          <w:sz w:val="56"/>
          <w:szCs w:val="56"/>
        </w:rPr>
        <w:t xml:space="preserve">EDITORIAL AUDIT REPORT</w:t>
      </w:r>
    </w:p>
    <w:p>
      <w:pPr>
        <w:spacing w:after="80" w:before="0"/>
        <w:jc w:val="center"/>
      </w:pPr>
      <w:r>
        <w:rPr>
          <w:rFonts w:ascii="Georgia" w:cs="Georgia" w:eastAsia="Georgia" w:hAnsi="Georgia"/>
          <w:i/>
          <w:iCs/>
          <w:color w:val="555555"/>
          <w:sz w:val="30"/>
          <w:szCs w:val="30"/>
        </w:rPr>
        <w:t xml:space="preserve">Stages 1 and 2</w:t>
      </w:r>
    </w:p>
    <w:p>
      <w:pPr>
        <w:pBdr>
          <w:bottom w:val="single" w:color="1a2744" w:sz="6"/>
        </w:pBdr>
        <w:spacing w:after="80" w:before="80"/>
      </w:pPr>
    </w:p>
    <w:p>
      <w:pPr>
        <w:spacing w:after="40" w:before="80"/>
        <w:jc w:val="center"/>
      </w:pPr>
      <w:r>
        <w:rPr>
          <w:rFonts w:ascii="Georgia" w:cs="Georgia" w:eastAsia="Georgia" w:hAnsi="Georgia"/>
          <w:b/>
          <w:bCs/>
          <w:sz w:val="22"/>
          <w:szCs w:val="22"/>
        </w:rPr>
        <w:t xml:space="preserve">Article Under Review:</w:t>
      </w:r>
    </w:p>
    <w:p>
      <w:pPr>
        <w:spacing w:after="20" w:before="0"/>
        <w:jc w:val="center"/>
      </w:pPr>
      <w:r>
        <w:rPr>
          <w:rFonts w:ascii="Georgia" w:cs="Georgia" w:eastAsia="Georgia" w:hAnsi="Georgia"/>
          <w:i/>
          <w:iCs/>
          <w:color w:val="1a2744"/>
          <w:sz w:val="22"/>
          <w:szCs w:val="22"/>
        </w:rPr>
        <w:t xml:space="preserve">PUT YOUR AIs IN A ROOM AND LET THEM ARGUE</w:t>
      </w:r>
    </w:p>
    <w:p>
      <w:pPr>
        <w:spacing w:after="200" w:before="0"/>
        <w:jc w:val="center"/>
      </w:pPr>
      <w:r>
        <w:rPr>
          <w:rFonts w:ascii="Georgia" w:cs="Georgia" w:eastAsia="Georgia" w:hAnsi="Georgia"/>
          <w:i/>
          <w:iCs/>
          <w:color w:val="555555"/>
          <w:sz w:val="20"/>
          <w:szCs w:val="20"/>
        </w:rPr>
        <w:t xml:space="preserve">Why a Single AI Answer Is Never Enough for an Important Question</w:t>
      </w:r>
    </w:p>
    <w:p>
      <w:pPr>
        <w:spacing w:after="60" w:before="0"/>
        <w:jc w:val="center"/>
      </w:pPr>
      <w:r>
        <w:rPr>
          <w:rFonts w:ascii="Georgia" w:cs="Georgia" w:eastAsia="Georgia" w:hAnsi="Georgia"/>
          <w:sz w:val="20"/>
          <w:szCs w:val="20"/>
        </w:rPr>
        <w:t xml:space="preserve">Author: Rajeev Upadhye</w:t>
      </w:r>
    </w:p>
    <w:p>
      <w:pPr>
        <w:spacing w:after="60" w:before="0"/>
        <w:jc w:val="center"/>
      </w:pPr>
      <w:r>
        <w:rPr>
          <w:rFonts w:ascii="Georgia" w:cs="Georgia" w:eastAsia="Georgia" w:hAnsi="Georgia"/>
          <w:color w:val="666666"/>
          <w:sz w:val="20"/>
          <w:szCs w:val="20"/>
        </w:rPr>
        <w:t xml:space="preserve">Audit Date: August 2026</w:t>
      </w:r>
    </w:p>
    <w:p>
      <w:pPr>
        <w:spacing w:after="200" w:before="0"/>
        <w:jc w:val="center"/>
      </w:pPr>
      <w:r>
        <w:rPr>
          <w:rFonts w:ascii="Georgia" w:cs="Georgia" w:eastAsia="Georgia" w:hAnsi="Georgia"/>
          <w:i/>
          <w:iCs/>
          <w:color w:val="666666"/>
          <w:sz w:val="18"/>
          <w:szCs w:val="18"/>
        </w:rPr>
        <w:t xml:space="preserve">Auditor roles: Senior Scientific Editor • AI Researcher • Historian-of-Ideas • Evidence Auditor</w:t>
      </w:r>
    </w:p>
    <w:p>
      <w:pPr>
        <w:spacing w:after="140" w:before="0" w:line="280" w:lineRule="auto"/>
        <w:jc w:val="both"/>
      </w:pPr>
      <w:r>
        <w:rPr>
          <w:rFonts w:ascii="Georgia" w:cs="Georgia" w:eastAsia="Georgia" w:hAnsi="Georgia"/>
          <w:i/>
          <w:iCs/>
          <w:color w:val="333333"/>
          <w:sz w:val="22"/>
          <w:szCs w:val="22"/>
        </w:rPr>
        <w:t xml:space="preserve">This report covers Stage 1 (Authenticity Audit) and Stage 2 (Section-by-Section Correction Plan). It applies the same epistemic principle the article advocates: count evidence, not voices. The audit is not hostile to the article's thesis. It is designed to make that thesis as defensible as possible.</w:t>
      </w:r>
    </w:p>
    <w:p>
      <w:pPr>
        <w:pageBreakBefore/>
        <w:pBdr>
          <w:bottom w:val="single" w:color="1a2744" w:sz="6"/>
        </w:pBdr>
        <w:spacing w:after="160" w:before="200"/>
      </w:pPr>
      <w:r>
        <w:rPr>
          <w:rFonts w:ascii="Georgia" w:cs="Georgia" w:eastAsia="Georgia" w:hAnsi="Georgia"/>
          <w:b/>
          <w:bCs/>
          <w:caps/>
          <w:color w:val="1a2744"/>
          <w:sz w:val="38"/>
          <w:szCs w:val="38"/>
        </w:rPr>
        <w:t xml:space="preserve">Stage 1: Authenticity Audit</w:t>
      </w:r>
    </w:p>
    <w:p>
      <w:pPr>
        <w:spacing w:after="120" w:before="280"/>
      </w:pPr>
      <w:r>
        <w:rPr>
          <w:rFonts w:ascii="Georgia" w:cs="Georgia" w:eastAsia="Georgia" w:hAnsi="Georgia"/>
          <w:b/>
          <w:bCs/>
          <w:color w:val="1a2744"/>
          <w:sz w:val="28"/>
          <w:szCs w:val="28"/>
        </w:rPr>
        <w:t xml:space="preserve">Summary Verdict</w:t>
      </w:r>
    </w:p>
    <w:p>
      <w:pPr>
        <w:spacing w:after="140" w:before="0" w:line="280" w:lineRule="auto"/>
        <w:jc w:val="both"/>
      </w:pPr>
      <w:r>
        <w:rPr>
          <w:rFonts w:ascii="Georgia" w:cs="Georgia" w:eastAsia="Georgia" w:hAnsi="Georgia"/>
          <w:sz w:val="22"/>
          <w:szCs w:val="22"/>
        </w:rPr>
        <w:t xml:space="preserve">The article makes a strong and epistemically well-motivated case for structured multi-agent deliberation on complex questions. Its central argument is sound and increasingly supported by research. However, five critical problems, several important problems, and a number of minor issues require correction before the article can withstand the adversarial scrutiny it recommends.</w:t>
      </w:r>
    </w:p>
    <w:p>
      <w:pPr>
        <w:spacing w:after="80" w:before="0"/>
      </w:pPr>
    </w:p>
    <w:p>
      <w:pPr>
        <w:spacing w:after="140" w:before="0" w:line="280" w:lineRule="auto"/>
        <w:jc w:val="both"/>
      </w:pPr>
      <w:r>
        <w:rPr>
          <w:rFonts w:ascii="Georgia" w:cs="Georgia" w:eastAsia="Georgia" w:hAnsi="Georgia"/>
          <w:b/>
          <w:bCs/>
          <w:sz w:val="22"/>
          <w:szCs w:val="22"/>
        </w:rPr>
        <w:t xml:space="preserve">CRITICAL problems (require correction before publication):</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Description of how LLMs work is too categorical for modern tool-using and retrieval-augmented systems.</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Legal-history section makes comparative claims (inquisitorial worse than adversarial) not supported by evidence.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Drug-interaction example (statin + antibiotic + 2021 study) cannot be independently verified; must be labelled hypothetical.</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Universal performance claims (multi-AI debate "produces better answers") overstate a contested, task-dependent literature.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Computational budget comparison (fair benchmark) is largely absent; critical to intellectual honesty.</w:t>
      </w:r>
    </w:p>
    <w:p>
      <w:pPr>
        <w:spacing w:after="80" w:before="0"/>
      </w:pPr>
    </w:p>
    <w:p>
      <w:pPr>
        <w:spacing w:after="140" w:before="0" w:line="280" w:lineRule="auto"/>
        <w:jc w:val="both"/>
      </w:pPr>
      <w:r>
        <w:rPr>
          <w:rFonts w:ascii="Georgia" w:cs="Georgia" w:eastAsia="Georgia" w:hAnsi="Georgia"/>
          <w:b/>
          <w:bCs/>
          <w:sz w:val="22"/>
          <w:szCs w:val="22"/>
        </w:rPr>
        <w:t xml:space="preserve">IMPORTANT problems (require correction):</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Peer review characterisation (reviewers motivated by career competition) is inaccurate and should be replaced.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Five-role architecture presented as established fact rather than the author's proposed framework.</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"Failure-surface coverage" introduced as if familiar terminology; it is the author's coinage and should be labelled as such.</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Knowledge graphs section uses present-tense certainty for future research proposals.</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Counter-evidence (self-consistency, information cascades, persuasion vs truth) is largely absent.</w:t>
      </w:r>
    </w:p>
    <w:p>
      <w:pPr>
        <w:spacing w:after="80" w:before="0"/>
      </w:pPr>
    </w:p>
    <w:p>
      <w:pPr>
        <w:spacing w:after="140" w:before="0" w:line="280" w:lineRule="auto"/>
        <w:jc w:val="both"/>
      </w:pPr>
      <w:r>
        <w:rPr>
          <w:rFonts w:ascii="Georgia" w:cs="Georgia" w:eastAsia="Georgia" w:hAnsi="Georgia"/>
          <w:i/>
          <w:iCs/>
          <w:sz w:val="22"/>
          <w:szCs w:val="22"/>
        </w:rPr>
        <w:t xml:space="preserve">The corrections do not weaken the article. They strengthen it by making its case precisely as defensible as the case it makes for AI debate systems.</w:t>
      </w:r>
    </w:p>
    <w:p>
      <w:pPr>
        <w:spacing w:after="120" w:before="280"/>
      </w:pPr>
      <w:r>
        <w:rPr>
          <w:rFonts w:ascii="Georgia" w:cs="Georgia" w:eastAsia="Georgia" w:hAnsi="Georgia"/>
          <w:b/>
          <w:bCs/>
          <w:color w:val="1a2744"/>
          <w:sz w:val="28"/>
          <w:szCs w:val="28"/>
        </w:rPr>
        <w:t xml:space="preserve">Claim-Level Audit Table</w:t>
      </w:r>
    </w:p>
    <w:p>
      <w:pPr>
        <w:spacing w:after="60" w:before="0"/>
      </w:pPr>
    </w:p>
    <w:tbl>
      <w:tblPr>
        <w:tblW w:type="dxa" w:w="92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tblGrid>
      <w:tr>
        <w:tc>
          <w:tcPr>
            <w:tcW w:type="dxa" w:w="26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Claim / Passage</w:t>
            </w:r>
          </w:p>
        </w:tc>
        <w:tc>
          <w:tcPr>
            <w:tcW w:type="dxa" w:w="11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Section</w:t>
            </w:r>
          </w:p>
        </w:tc>
        <w:tc>
          <w:tcPr>
            <w:tcW w:type="dxa" w:w="17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Classification</w:t>
            </w:r>
          </w:p>
        </w:tc>
        <w:tc>
          <w:tcPr>
            <w:tcW w:type="dxa" w:w="29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Problem</w:t>
            </w:r>
          </w:p>
        </w:tc>
        <w:tc>
          <w:tcPr>
            <w:tcW w:type="dxa" w:w="9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Severity</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"It generates text statistically consistent with the corpus... It has no access to ground truth external to its training."</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Fundamental Limitation</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OVERSTATED / INCORRECT</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Accurate for base pretrained LLMs; false for retrieval-augmented, tool-using, and web-browsing models now standard. The correct limitation concerns fallibility and hallucination risk, not absence of external access.</w:t>
            </w:r>
          </w:p>
        </w:tc>
        <w:tc>
          <w:tcPr>
            <w:tcW w:type="dxa" w:w="900"/>
            <w:tcMar>
              <w:top w:type="dxa" w:w="60"/>
              <w:left w:type="dxa" w:w="100"/>
              <w:bottom w:type="dxa" w:w="60"/>
              <w:right w:type="dxa" w:w="100"/>
            </w:tcMar>
          </w:tcPr>
          <w:p>
            <w:r>
              <w:rPr>
                <w:rFonts w:ascii="Georgia" w:cs="Georgia" w:eastAsia="Georgia" w:hAnsi="Georgia"/>
                <w:b/>
                <w:bCs/>
                <w:color w:val="e05c4b"/>
                <w:sz w:val="17"/>
                <w:szCs w:val="17"/>
              </w:rPr>
              <w:t xml:space="preserve">CRITICAL</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"catastrophically worse outcomes" under inquisitorial systems</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What History Teaches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UNSUPPORTED COMPARISON</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No empirical comparative wrongful-conviction data supports this. Modern inquisitorial systems (France, Germany, Japan) are sophisticated institutions with independent safeguards. The analogy should be narrowed to: structural challenge reduces unchecked one-sided reasoning.</w:t>
            </w:r>
          </w:p>
        </w:tc>
        <w:tc>
          <w:tcPr>
            <w:tcW w:type="dxa" w:w="900"/>
            <w:tcMar>
              <w:top w:type="dxa" w:w="60"/>
              <w:left w:type="dxa" w:w="100"/>
              <w:bottom w:type="dxa" w:w="60"/>
              <w:right w:type="dxa" w:w="100"/>
            </w:tcMar>
          </w:tcPr>
          <w:p>
            <w:r>
              <w:rPr>
                <w:rFonts w:ascii="Georgia" w:cs="Georgia" w:eastAsia="Georgia" w:hAnsi="Georgia"/>
                <w:b/>
                <w:bCs/>
                <w:color w:val="e05c4b"/>
                <w:sz w:val="17"/>
                <w:szCs w:val="17"/>
              </w:rPr>
              <w:t xml:space="preserve">CRITICAL</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"machine for producing wrongful convictions" (medieval inquisitorial)</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What History Teaches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ANALOGY OVERSTATED AS FACT</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The historical narrative is useful but presented as established comparative evidence. Must be explicitly qualified as an analogy.</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Peer reviewers motivated by professional reputation for discovering errors</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What History Teaches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INACCURATE CHARACTERISATION</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Peer review is a structured critical-evaluation mechanism, typically anonymous and unremunerated. The cynical-motive framing is a rhetorical overstatement. Should describe peer review accurately while noting its genuine and well-documented limitations.</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Five Roles: Proposer, Challenger, Steelman, Source Auditor, Synthesiser (presented as the architecture)</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The Five Roles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AUTHOR'S FRAMEWORK NOT LABELLED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Presented without identifying as the author's proposal. Related to Du et al. (2023), ChatEval (Chan et al. 2023), Liang et al. (2023) but extending them. Source Auditor role is not prominent in prior published architectures.</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"Failure-surface coverage"</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The Five Roles / Concept Box</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AUTHOR'S COINAGE NOT LABELLED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This term does not appear in the published literature. It is a conceptual contribution of this article and should be explicitly introduced as such. Distinguish from ensemble diversity, red teaming, and fault coverage in software testing.</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Multi-AI debate "produces better answers" (implicit throughout)</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Multiple sections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CONTESTED / CONDITIONAL</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Research literature shows task-dependent gains. Self-consistency (one model, multiple samples) achieves comparable gains on some benchmarks. Information cascades can degrade multi-agent accuracy. Persuasion and correctness diverge (Khan et al. 2024). Universal claims must be qualified.</w:t>
            </w:r>
          </w:p>
        </w:tc>
        <w:tc>
          <w:tcPr>
            <w:tcW w:type="dxa" w:w="900"/>
            <w:tcMar>
              <w:top w:type="dxa" w:w="60"/>
              <w:left w:type="dxa" w:w="100"/>
              <w:bottom w:type="dxa" w:w="60"/>
              <w:right w:type="dxa" w:w="100"/>
            </w:tcMar>
          </w:tcPr>
          <w:p>
            <w:r>
              <w:rPr>
                <w:rFonts w:ascii="Georgia" w:cs="Georgia" w:eastAsia="Georgia" w:hAnsi="Georgia"/>
                <w:b/>
                <w:bCs/>
                <w:color w:val="e05c4b"/>
                <w:sz w:val="17"/>
                <w:szCs w:val="17"/>
              </w:rPr>
              <w:t xml:space="preserve">CRITICAL</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Five types of diversity (model, prompt, role, evidence, methodological)</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How to Get the Best Out</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AUTHOR'S TAXONOMY NOT LABELLED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A useful synthesis not established as such in the literature. Should be framed explicitly as the author's proposed taxonomy.</w:t>
            </w:r>
          </w:p>
        </w:tc>
        <w:tc>
          <w:tcPr>
            <w:tcW w:type="dxa" w:w="900"/>
            <w:tcMar>
              <w:top w:type="dxa" w:w="60"/>
              <w:left w:type="dxa" w:w="100"/>
              <w:bottom w:type="dxa" w:w="60"/>
              <w:right w:type="dxa" w:w="100"/>
            </w:tcMar>
          </w:tcPr>
          <w:p>
            <w:r>
              <w:rPr>
                <w:rFonts w:ascii="Georgia" w:cs="Georgia" w:eastAsia="Georgia" w:hAnsi="Georgia"/>
                <w:b/>
                <w:bCs/>
                <w:color w:val="5a8a6a"/>
                <w:sz w:val="17"/>
                <w:szCs w:val="17"/>
              </w:rPr>
              <w:t xml:space="preserve">MINOR</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Six dimensions of a debate question</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Identifying the Dimensions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AUTHOR'S FRAMEWORK NOT LABELLED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An original well-reasoned framework. Not a published typology. Should be framed as the author's proposed analytical framework.</w:t>
            </w:r>
          </w:p>
        </w:tc>
        <w:tc>
          <w:tcPr>
            <w:tcW w:type="dxa" w:w="900"/>
            <w:tcMar>
              <w:top w:type="dxa" w:w="60"/>
              <w:left w:type="dxa" w:w="100"/>
              <w:bottom w:type="dxa" w:w="60"/>
              <w:right w:type="dxa" w:w="100"/>
            </w:tcMar>
          </w:tcPr>
          <w:p>
            <w:r>
              <w:rPr>
                <w:rFonts w:ascii="Georgia" w:cs="Georgia" w:eastAsia="Georgia" w:hAnsi="Georgia"/>
                <w:b/>
                <w:bCs/>
                <w:color w:val="5a8a6a"/>
                <w:sz w:val="17"/>
                <w:szCs w:val="17"/>
              </w:rPr>
              <w:t xml:space="preserve">MINOR</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Drug-interaction example: statin + antibiotic, patients over 75, CYP3A4, "2021 pharmacogenomics study"</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A Real Example</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UNVERIFIABLE: MUST BE LABELLED HYPOTHETICAL</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The specific "2021 pharmacogenomics study that revised the risk assessment" cannot be independently identified. The statin-macrolide CYP3A4 mechanism is real; the specific case is a pedagogical construction. Must be labelled as illustrative hypothetical.</w:t>
            </w:r>
          </w:p>
        </w:tc>
        <w:tc>
          <w:tcPr>
            <w:tcW w:type="dxa" w:w="900"/>
            <w:tcMar>
              <w:top w:type="dxa" w:w="60"/>
              <w:left w:type="dxa" w:w="100"/>
              <w:bottom w:type="dxa" w:w="60"/>
              <w:right w:type="dxa" w:w="100"/>
            </w:tcMar>
          </w:tcPr>
          <w:p>
            <w:r>
              <w:rPr>
                <w:rFonts w:ascii="Georgia" w:cs="Georgia" w:eastAsia="Georgia" w:hAnsi="Georgia"/>
                <w:b/>
                <w:bCs/>
                <w:color w:val="e05c4b"/>
                <w:sz w:val="17"/>
                <w:szCs w:val="17"/>
              </w:rPr>
              <w:t xml:space="preserve">CRITICAL</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Knowledge graphs "transform interpretation from trust into inspection" (present tense)</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Knowledge Graphs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FUTURE PROPOSAL AS CURRENT FACT</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Knowledge-graph integration with AI debate output is a research direction, not a deployed system. Present-tense certainty must be replaced with prospective language.</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Gary Klein premortem technique</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Innovation Frontier</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VERIFIED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Accurate. Source: Klein (1998) Sources of Power, MIT Press; Klein (2007) HBR 85(9):18-19. Citation should be added.</w:t>
            </w:r>
          </w:p>
        </w:tc>
        <w:tc>
          <w:tcPr>
            <w:tcW w:type="dxa" w:w="900"/>
            <w:tcMar>
              <w:top w:type="dxa" w:w="60"/>
              <w:left w:type="dxa" w:w="100"/>
              <w:bottom w:type="dxa" w:w="60"/>
              <w:right w:type="dxa" w:w="100"/>
            </w:tcMar>
          </w:tcPr>
          <w:p>
            <w:r>
              <w:rPr>
                <w:rFonts w:ascii="Georgia" w:cs="Georgia" w:eastAsia="Georgia" w:hAnsi="Georgia"/>
                <w:b/>
                <w:bCs/>
                <w:color w:val="5a8a6a"/>
                <w:sz w:val="17"/>
                <w:szCs w:val="17"/>
              </w:rPr>
              <w:t xml:space="preserve">MINOR</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Confirmation bias</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What History Teaches</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VERIFIED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Well-established. Primary source: Nickerson (1998) Psychological Bulletin 175(2):175-220. Citation should be added.</w:t>
            </w:r>
          </w:p>
        </w:tc>
        <w:tc>
          <w:tcPr>
            <w:tcW w:type="dxa" w:w="900"/>
            <w:tcMar>
              <w:top w:type="dxa" w:w="60"/>
              <w:left w:type="dxa" w:w="100"/>
              <w:bottom w:type="dxa" w:w="60"/>
              <w:right w:type="dxa" w:w="100"/>
            </w:tcMar>
          </w:tcPr>
          <w:p>
            <w:r>
              <w:rPr>
                <w:rFonts w:ascii="Georgia" w:cs="Georgia" w:eastAsia="Georgia" w:hAnsi="Georgia"/>
                <w:b/>
                <w:bCs/>
                <w:color w:val="5a8a6a"/>
                <w:sz w:val="17"/>
                <w:szCs w:val="17"/>
              </w:rPr>
              <w:t xml:space="preserve">MINOR</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Computational budget comparison largely absent</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General / Multiple</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MISSING COUNTER-EVIDENCE</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The fair comparison is multi-agent system vs. best single-agent reasoning/retrieval workflow at equivalent compute. This is critical to intellectual honesty and must be addressed prominently.</w:t>
            </w:r>
          </w:p>
        </w:tc>
        <w:tc>
          <w:tcPr>
            <w:tcW w:type="dxa" w:w="900"/>
            <w:tcMar>
              <w:top w:type="dxa" w:w="60"/>
              <w:left w:type="dxa" w:w="100"/>
              <w:bottom w:type="dxa" w:w="60"/>
              <w:right w:type="dxa" w:w="100"/>
            </w:tcMar>
          </w:tcPr>
          <w:p>
            <w:r>
              <w:rPr>
                <w:rFonts w:ascii="Georgia" w:cs="Georgia" w:eastAsia="Georgia" w:hAnsi="Georgia"/>
                <w:b/>
                <w:bCs/>
                <w:color w:val="e05c4b"/>
                <w:sz w:val="17"/>
                <w:szCs w:val="17"/>
              </w:rPr>
              <w:t xml:space="preserve">CRITICAL</w:t>
            </w:r>
          </w:p>
        </w:tc>
      </w:tr>
      <w:tr>
        <w:trPr>
          <w:cantSplit/>
        </w:trPr>
        <w:tc>
          <w:tcPr>
            <w:tcW w:type="dxa" w:w="2600"/>
            <w:tcMar>
              <w:top w:type="dxa" w:w="60"/>
              <w:left w:type="dxa" w:w="100"/>
              <w:bottom w:type="dxa" w:w="60"/>
              <w:right w:type="dxa" w:w="100"/>
            </w:tcMar>
          </w:tcPr>
          <w:p>
            <w:r>
              <w:rPr>
                <w:rFonts w:ascii="Georgia" w:cs="Georgia" w:eastAsia="Georgia" w:hAnsi="Georgia"/>
                <w:b w:val="false"/>
                <w:bCs w:val="false"/>
                <w:color w:val="000000"/>
                <w:sz w:val="17"/>
                <w:szCs w:val="17"/>
              </w:rPr>
              <w:t xml:space="preserve">Correlated model errors / shared training data risk</w:t>
            </w:r>
          </w:p>
        </w:tc>
        <w:tc>
          <w:tcPr>
            <w:tcW w:type="dxa" w:w="1100"/>
            <w:tcMar>
              <w:top w:type="dxa" w:w="60"/>
              <w:left w:type="dxa" w:w="100"/>
              <w:bottom w:type="dxa" w:w="60"/>
              <w:right w:type="dxa" w:w="100"/>
            </w:tcMar>
          </w:tcPr>
          <w:p>
            <w:r>
              <w:rPr>
                <w:rFonts w:ascii="Georgia" w:cs="Georgia" w:eastAsia="Georgia" w:hAnsi="Georgia"/>
                <w:b w:val="false"/>
                <w:bCs w:val="false"/>
                <w:color w:val="000000"/>
                <w:sz w:val="17"/>
                <w:szCs w:val="17"/>
              </w:rPr>
              <w:t xml:space="preserve">Mistakes to Avoid</w:t>
            </w:r>
          </w:p>
        </w:tc>
        <w:tc>
          <w:tcPr>
            <w:tcW w:type="dxa" w:w="1700"/>
            <w:tcMar>
              <w:top w:type="dxa" w:w="60"/>
              <w:left w:type="dxa" w:w="100"/>
              <w:bottom w:type="dxa" w:w="60"/>
              <w:right w:type="dxa" w:w="100"/>
            </w:tcMar>
          </w:tcPr>
          <w:p>
            <w:r>
              <w:rPr>
                <w:rFonts w:ascii="Georgia" w:cs="Georgia" w:eastAsia="Georgia" w:hAnsi="Georgia"/>
                <w:b/>
                <w:bCs/>
                <w:color w:val="2a7f8f"/>
                <w:sz w:val="17"/>
                <w:szCs w:val="17"/>
              </w:rPr>
              <w:t xml:space="preserve">PARTIALLY ADDRESSED</w:t>
            </w:r>
          </w:p>
        </w:tc>
        <w:tc>
          <w:tcPr>
            <w:tcW w:type="dxa" w:w="2900"/>
            <w:tcMar>
              <w:top w:type="dxa" w:w="60"/>
              <w:left w:type="dxa" w:w="100"/>
              <w:bottom w:type="dxa" w:w="60"/>
              <w:right w:type="dxa" w:w="100"/>
            </w:tcMar>
          </w:tcPr>
          <w:p>
            <w:r>
              <w:rPr>
                <w:rFonts w:ascii="Georgia" w:cs="Georgia" w:eastAsia="Georgia" w:hAnsi="Georgia"/>
                <w:b w:val="false"/>
                <w:bCs w:val="false"/>
                <w:color w:val="000000"/>
                <w:sz w:val="17"/>
                <w:szCs w:val="17"/>
              </w:rPr>
              <w:t xml:space="preserve">Sequential contamination is noted. But systematic correlated errors from shared training corpora and the consequent limits on independence are not adequately prominent.</w:t>
            </w:r>
          </w:p>
        </w:tc>
        <w:tc>
          <w:tcPr>
            <w:tcW w:type="dxa" w:w="900"/>
            <w:tcMar>
              <w:top w:type="dxa" w:w="60"/>
              <w:left w:type="dxa" w:w="100"/>
              <w:bottom w:type="dxa" w:w="60"/>
              <w:right w:type="dxa" w:w="100"/>
            </w:tcMar>
          </w:tcPr>
          <w:p>
            <w:r>
              <w:rPr>
                <w:rFonts w:ascii="Georgia" w:cs="Georgia" w:eastAsia="Georgia" w:hAnsi="Georgia"/>
                <w:b/>
                <w:bCs/>
                <w:color w:val="e8a838"/>
                <w:sz w:val="17"/>
                <w:szCs w:val="17"/>
              </w:rPr>
              <w:t xml:space="preserve">IMPORTANT</w:t>
            </w:r>
          </w:p>
        </w:tc>
      </w:tr>
    </w:tbl>
    <w:p>
      <w:pPr>
        <w:spacing w:after="80" w:before="0"/>
      </w:pPr>
    </w:p>
    <w:p>
      <w:pPr>
        <w:spacing w:after="120" w:before="280"/>
      </w:pPr>
      <w:r>
        <w:rPr>
          <w:rFonts w:ascii="Georgia" w:cs="Georgia" w:eastAsia="Georgia" w:hAnsi="Georgia"/>
          <w:b/>
          <w:bCs/>
          <w:color w:val="1a2744"/>
          <w:sz w:val="28"/>
          <w:szCs w:val="28"/>
        </w:rPr>
        <w:t xml:space="preserve">Claims Verified as Sound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structural principle that dedicated adversarial challenge reduces unchecked one-sided reasoning -- supported by psychology research (confirmation bias) and institutional history.</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core distinction between model agreement and independent evidence -- epistemically precise and important. The "count evidence not voices" framework is correct and should be strengthened.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Gary Klein premortem technique -- verified and citable.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Devil's Advocate as a formal Catholic Church role (Promoter Fidei) -- historically accurate.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AI sycophancy and anchoring effects -- supported by multiple papers.</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seven-phase anatomy of a debate -- original, logically sound procedural framework.</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information-gain criterion for productive debate rounds -- epistemically sound.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six-dimensional question framework -- original, well-constructed, practically useful.</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The dissent register and evidence audit trail concepts -- original contributions worth preserving.</w:t>
      </w:r>
    </w:p>
    <w:p>
      <w:pPr>
        <w:spacing w:after="120" w:before="280"/>
      </w:pPr>
      <w:r>
        <w:rPr>
          <w:rFonts w:ascii="Georgia" w:cs="Georgia" w:eastAsia="Georgia" w:hAnsi="Georgia"/>
          <w:b/>
          <w:bCs/>
          <w:color w:val="1a2744"/>
          <w:sz w:val="28"/>
          <w:szCs w:val="28"/>
        </w:rPr>
        <w:t xml:space="preserve">Missing Counter-Evidence to Include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Wang et al. (2022/ICLR 2023): self-consistency -- sampling multiple times from a single model -- achieves gains comparable to multi-model debate on several benchmarks, directly challenging the assumption that multi-model debate adds unique value.</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Khan et al. (2024, NeurIPS): more persuasive LLMs win AI debates regardless of correctness, raising serious concerns about debate as a truth-seeking mechanism.</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Task dependence: gains from multi-agent debate demonstrated primarily on mathematical reasoning and structured factual tasks; not universally replicated.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Information cascade risk: when a confident model produces a wrong answer, subsequent models often anchor to it, degrading final accuracy.</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Correlated errors: models trained on similar corpora share systematic blind spots that multi-model debate cannot expose if all models share the same blind spot.</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Scalability of single-agent reasoning: chain-of-thought (Wei et al. 2022), tree-of-thought (Yao et al. 2023), and extended thinking have substantially narrowed the single-agent performance gap.</w:t>
      </w:r>
    </w:p>
    <w:p>
      <w:pPr>
        <w:pageBreakBefore/>
        <w:pBdr>
          <w:bottom w:val="single" w:color="1a2744" w:sz="6"/>
        </w:pBdr>
        <w:spacing w:after="160" w:before="200"/>
      </w:pPr>
      <w:r>
        <w:rPr>
          <w:rFonts w:ascii="Georgia" w:cs="Georgia" w:eastAsia="Georgia" w:hAnsi="Georgia"/>
          <w:b/>
          <w:bCs/>
          <w:caps/>
          <w:color w:val="1a2744"/>
          <w:sz w:val="38"/>
          <w:szCs w:val="38"/>
        </w:rPr>
        <w:t xml:space="preserve">Stage 2: Section-by-Section Correction Plan</w:t>
      </w:r>
    </w:p>
    <w:p>
      <w:pPr>
        <w:spacing w:after="60" w:before="0"/>
      </w:pPr>
    </w:p>
    <w:tbl>
      <w:tblPr>
        <w:tblW w:type="dxa" w:w="92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tblGrid>
      <w:tr>
        <w:tc>
          <w:tcPr>
            <w:tcW w:type="dxa" w:w="15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Section</w:t>
            </w:r>
          </w:p>
        </w:tc>
        <w:tc>
          <w:tcPr>
            <w:tcW w:type="dxa" w:w="22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Problem</w:t>
            </w:r>
          </w:p>
        </w:tc>
        <w:tc>
          <w:tcPr>
            <w:tcW w:type="dxa" w:w="29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Required Correction</w:t>
            </w:r>
          </w:p>
        </w:tc>
        <w:tc>
          <w:tcPr>
            <w:tcW w:type="dxa" w:w="15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Evidence / Source</w:t>
            </w:r>
          </w:p>
        </w:tc>
        <w:tc>
          <w:tcPr>
            <w:tcW w:type="dxa" w:w="900"/>
            <w:shd w:fill="1a2744" w:color="auto" w:val="clear"/>
            <w:tcMar>
              <w:top w:type="dxa" w:w="60"/>
              <w:left w:type="dxa" w:w="100"/>
              <w:bottom w:type="dxa" w:w="60"/>
              <w:right w:type="dxa" w:w="100"/>
            </w:tcMar>
          </w:tcPr>
          <w:p>
            <w:r>
              <w:rPr>
                <w:rFonts w:ascii="Georgia" w:cs="Georgia" w:eastAsia="Georgia" w:hAnsi="Georgia"/>
                <w:b/>
                <w:bCs/>
                <w:color w:val="FFFFFF"/>
                <w:sz w:val="17"/>
                <w:szCs w:val="17"/>
              </w:rPr>
              <w:t xml:space="preserve">Severity</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Fundamental Limitation</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LLM description too categorical for modern systems.</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Distinguish base LLMs (pattern completion, no external access) from modern tool-using, RAG, and reasoning-enhanced systems. Reframe the limitation as: fallibility, hallucination risk, calibration failure, correlated training-data errors, and lack of intrinsic correspondence guarantees -- present even in powerful modern systems.</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Lewis et al. 2020 (RAG); Ji et al. 2023 (hallucination survey).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What History Teaches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Comparative claim (inquisitorial worse than adversarial) unsupported.</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Narrow the argument to the defensible principle: structural challenge -- assigning a dedicated role to find weaknesses -- reduces unchecked one-sided reasoning. Explicitly note that modern inquisitorial systems have their own safeguards and that comparative wrongful-conviction data is unavailable. Preserve the analogy; qualify the comparative claim.</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Langbein (2003); Damasˇka (1986); Nickerson (1998).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What History Teaches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Peer review characterisation inaccurate.</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Replace cynical-motive framing with accurate description: peer review is a structured critical-evaluation mechanism. Note its genuine limitations: publication bias, reviewer fatigue, replication crisis. Preserve the structural point (critical evaluation improves reliability) while being accurate about the mechanism.</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Ioannidis (2005); Munafò et al. (2017).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The Five Roles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Architecture not labelled as author's proposal.</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framing: "I propose a five-role architecture, building on multi-agent deliberation research..." Briefly note relationship to Du et al. (2023), ChatEval (Chan et al. 2023). Identify Source Auditor as a role not prominent in prior architectures.</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Du et al. 2023 (ICML); Chan et al. 2023 (ChatEval).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The Five Roles / Concept Box</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Failure-surface coverage not labelled as author's coinage.</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explicit introduction: "I will call this principle failure-surface coverage -- a term I introduce here..." Distinguish from ensemble diversity (diversity of models) and red teaming (external testing). Position as conceptual contribution.</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No prior published use of this term found.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Multiple sections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Universal performance claims overstated.</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Replace "produces better answers" with "can improve performance on complex reasoning tasks under certain architectures and tasks." Add paragraph acknowledging: (1) self-consistency achieves similar gains on some tasks; (2) information cascades can degrade quality; (3) persuasion and correctness can diverge.</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Du et al. 2023; Wang et al. 2022; Khan et al. 2024.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How to Get the Best Out</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Five diversity types not labelled as author's taxonomy.</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one sentence: "I propose five types of diversity that bear on epistemic quality..." Some categories appear in literature; this combination is the author's synthesis.</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Partial precedents in multi-agent literature. Severity: MINOR.</w:t>
            </w:r>
          </w:p>
        </w:tc>
        <w:tc>
          <w:tcPr>
            <w:tcW w:type="dxa" w:w="900"/>
            <w:tcMar>
              <w:top w:type="dxa" w:w="60"/>
              <w:left w:type="dxa" w:w="100"/>
              <w:bottom w:type="dxa" w:w="60"/>
              <w:right w:type="dxa" w:w="100"/>
            </w:tcMar>
          </w:tcPr>
          <w:p>
            <w:r>
              <w:rPr>
                <w:rFonts w:ascii="Georgia" w:cs="Georgia" w:eastAsia="Georgia" w:hAnsi="Georgia"/>
                <w:color w:val="5a8a6a"/>
                <w:sz w:val="17"/>
                <w:szCs w:val="17"/>
              </w:rPr>
              <w:t xml:space="preserve">MINOR</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Identifying Dimensions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Six-dimension framework not labelled as author's.</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framing: "I propose a practical six-dimensional diagnostic framework..." Preserve all six dimensions.</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Original synthesis drawing on philosophy of science and decision theory. Severity: MINOR.</w:t>
            </w:r>
          </w:p>
        </w:tc>
        <w:tc>
          <w:tcPr>
            <w:tcW w:type="dxa" w:w="900"/>
            <w:tcMar>
              <w:top w:type="dxa" w:w="60"/>
              <w:left w:type="dxa" w:w="100"/>
              <w:bottom w:type="dxa" w:w="60"/>
              <w:right w:type="dxa" w:w="100"/>
            </w:tcMar>
          </w:tcPr>
          <w:p>
            <w:r>
              <w:rPr>
                <w:rFonts w:ascii="Georgia" w:cs="Georgia" w:eastAsia="Georgia" w:hAnsi="Georgia"/>
                <w:color w:val="5a8a6a"/>
                <w:sz w:val="17"/>
                <w:szCs w:val="17"/>
              </w:rPr>
              <w:t xml:space="preserve">MINOR</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A Real Example</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Drug-interaction example unverifiable.</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explicit label: "[Illustrative hypothetical example]" at the start of the section. Add note that the CYP3A4 mechanism and statin-macrolide interactions are real, but the specific case and 2021 study are constructed to illustrate the method. Add real anchor citation for the pharmacology.</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FDA (2012) on simvastatin; Wiggins et al. (2016) Circulation.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Knowledge Graphs</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Present-tense certainty for future proposals.</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Replace: "transforms interpretation" with "could transform interpretation"; "enables comparison" with "would enable comparison"; "enables incremental refinement" with "could enable incremental refinement." Introduce TRACE/COMPARE/UPDATE/INTERROGATE framework explicitly as the author's proposed design framework.</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Pan et al. 2024 (KG survey); Edge et al. 2024 (Graph RAG).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Computational budget</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Critical comparison absent.</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a paragraph (or strengthen existing) making explicit: the fair comparison for multi-agent debate is not one-shot single-model querying but the best single-agent reasoning/retrieval/verification workflow at equivalent computational budget. Cite evidence on this comparison.</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Relevant to Du et al. 2023 discussion; Wang et al. 2022 (self-consistency).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General</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No citations.</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numbered endnotes or in-text citations for all empirical, historical, and scientific claims. Create a References section. Every reference must be independently verifiable.</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See references list in this report.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NEW SECTION REQUIRED</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Missing: What We Still Do Not Know.</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Add section before or after The Deeper Argument covering: limited benchmarks, task dependence, correlated errors, shared training corpora, information cascades, persuasion vs truth, computational expense, single-agent scaling, judge/synthesiser fallibility, and lack of evidence for real-world generalisation.</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Du et al. 2023; Khan et al. 2024; Wang et al. 2022. Severity: CRITICAL.</w:t>
            </w:r>
          </w:p>
        </w:tc>
        <w:tc>
          <w:tcPr>
            <w:tcW w:type="dxa" w:w="900"/>
            <w:tcMar>
              <w:top w:type="dxa" w:w="60"/>
              <w:left w:type="dxa" w:w="100"/>
              <w:bottom w:type="dxa" w:w="60"/>
              <w:right w:type="dxa" w:w="100"/>
            </w:tcMar>
          </w:tcPr>
          <w:p>
            <w:r>
              <w:rPr>
                <w:rFonts w:ascii="Georgia" w:cs="Georgia" w:eastAsia="Georgia" w:hAnsi="Georgia"/>
                <w:color w:val="e05c4b"/>
                <w:sz w:val="17"/>
                <w:szCs w:val="17"/>
              </w:rPr>
              <w:t xml:space="preserve">CRITICAL</w:t>
            </w:r>
          </w:p>
        </w:tc>
      </w:tr>
      <w:tr>
        <w:trPr>
          <w:cantSplit/>
        </w:trPr>
        <w:tc>
          <w:tcPr>
            <w:tcW w:type="dxa" w:w="1500"/>
            <w:tcMar>
              <w:top w:type="dxa" w:w="60"/>
              <w:left w:type="dxa" w:w="100"/>
              <w:bottom w:type="dxa" w:w="60"/>
              <w:right w:type="dxa" w:w="100"/>
            </w:tcMar>
          </w:tcPr>
          <w:p>
            <w:r>
              <w:rPr>
                <w:rFonts w:ascii="Georgia" w:cs="Georgia" w:eastAsia="Georgia" w:hAnsi="Georgia"/>
                <w:color w:val="1a2744"/>
                <w:sz w:val="17"/>
                <w:szCs w:val="17"/>
              </w:rPr>
              <w:t xml:space="preserve">Conclusion</w:t>
            </w:r>
          </w:p>
        </w:tc>
        <w:tc>
          <w:tcPr>
            <w:tcW w:type="dxa" w:w="2200"/>
            <w:tcMar>
              <w:top w:type="dxa" w:w="60"/>
              <w:left w:type="dxa" w:w="100"/>
              <w:bottom w:type="dxa" w:w="60"/>
              <w:right w:type="dxa" w:w="100"/>
            </w:tcMar>
          </w:tcPr>
          <w:p>
            <w:r>
              <w:rPr>
                <w:rFonts w:ascii="Georgia" w:cs="Georgia" w:eastAsia="Georgia" w:hAnsi="Georgia"/>
                <w:color w:val="000000"/>
                <w:sz w:val="17"/>
                <w:szCs w:val="17"/>
              </w:rPr>
              <w:t xml:space="preserve">Conclusion implies universal superiority.</w:t>
            </w:r>
          </w:p>
        </w:tc>
        <w:tc>
          <w:tcPr>
            <w:tcW w:type="dxa" w:w="2900"/>
            <w:tcMar>
              <w:top w:type="dxa" w:w="60"/>
              <w:left w:type="dxa" w:w="100"/>
              <w:bottom w:type="dxa" w:w="60"/>
              <w:right w:type="dxa" w:w="100"/>
            </w:tcMar>
          </w:tcPr>
          <w:p>
            <w:r>
              <w:rPr>
                <w:rFonts w:ascii="Georgia" w:cs="Georgia" w:eastAsia="Georgia" w:hAnsi="Georgia"/>
                <w:color w:val="000000"/>
                <w:sz w:val="17"/>
                <w:szCs w:val="17"/>
              </w:rPr>
              <w:t xml:space="preserve">Revise conclusion to: "For consequential questions, reliability comes not from multiplying AI voices but from structuring independent hypothesis generation, adversarial challenge, evidence provenance, external verification, calibrated uncertainty, and preserved dissent. Multi-model debate is one promising architecture for this -- but its value must be demonstrated, not assumed. The deepest principle is not MORE AIs = MORE TRUTH. It is BETTER STRUCTURED SCRUTINY = BETTER CONDITIONS FOR DISCOVERING ERROR."</w:t>
            </w:r>
          </w:p>
        </w:tc>
        <w:tc>
          <w:tcPr>
            <w:tcW w:type="dxa" w:w="1500"/>
            <w:tcMar>
              <w:top w:type="dxa" w:w="60"/>
              <w:left w:type="dxa" w:w="100"/>
              <w:bottom w:type="dxa" w:w="60"/>
              <w:right w:type="dxa" w:w="100"/>
            </w:tcMar>
          </w:tcPr>
          <w:p>
            <w:r>
              <w:rPr>
                <w:rFonts w:ascii="Georgia" w:cs="Georgia" w:eastAsia="Georgia" w:hAnsi="Georgia"/>
                <w:color w:val="000000"/>
                <w:sz w:val="17"/>
                <w:szCs w:val="17"/>
              </w:rPr>
              <w:t xml:space="preserve">Supported by the corrected body of the article. Severity: IMPORTANT.</w:t>
            </w:r>
          </w:p>
        </w:tc>
        <w:tc>
          <w:tcPr>
            <w:tcW w:type="dxa" w:w="900"/>
            <w:tcMar>
              <w:top w:type="dxa" w:w="60"/>
              <w:left w:type="dxa" w:w="100"/>
              <w:bottom w:type="dxa" w:w="60"/>
              <w:right w:type="dxa" w:w="100"/>
            </w:tcMar>
          </w:tcPr>
          <w:p>
            <w:r>
              <w:rPr>
                <w:rFonts w:ascii="Georgia" w:cs="Georgia" w:eastAsia="Georgia" w:hAnsi="Georgia"/>
                <w:color w:val="e8a838"/>
                <w:sz w:val="17"/>
                <w:szCs w:val="17"/>
              </w:rPr>
              <w:t xml:space="preserve">IMPORTANT</w:t>
            </w:r>
          </w:p>
        </w:tc>
      </w:tr>
    </w:tbl>
    <w:p>
      <w:pPr>
        <w:spacing w:after="80" w:before="0"/>
      </w:pPr>
    </w:p>
    <w:p>
      <w:pPr>
        <w:spacing w:after="120" w:before="280"/>
      </w:pPr>
      <w:r>
        <w:rPr>
          <w:rFonts w:ascii="Georgia" w:cs="Georgia" w:eastAsia="Georgia" w:hAnsi="Georgia"/>
          <w:b/>
          <w:bCs/>
          <w:color w:val="1a2744"/>
          <w:sz w:val="28"/>
          <w:szCs w:val="28"/>
        </w:rPr>
        <w:t xml:space="preserve">Required References (Verified and Citable)</w:t>
      </w:r>
    </w:p>
    <w:p>
      <w:pPr>
        <w:spacing w:after="140" w:before="0" w:line="280" w:lineRule="auto"/>
        <w:jc w:val="both"/>
      </w:pPr>
      <w:r>
        <w:rPr>
          <w:rFonts w:ascii="Georgia" w:cs="Georgia" w:eastAsia="Georgia" w:hAnsi="Georgia"/>
          <w:b/>
          <w:bCs/>
          <w:sz w:val="22"/>
          <w:szCs w:val="22"/>
        </w:rPr>
        <w:t xml:space="preserve">All references below are real, peer-reviewed, and independently verifiable. Only these should be added to the article.</w:t>
      </w:r>
    </w:p>
    <w:p>
      <w:pPr>
        <w:spacing w:after="60" w:before="0"/>
      </w:pPr>
    </w:p>
    <w:p>
      <w:pPr>
        <w:spacing w:after="140" w:before="0" w:line="280" w:lineRule="auto"/>
        <w:jc w:val="both"/>
      </w:pPr>
      <w:r>
        <w:rPr>
          <w:rFonts w:ascii="Georgia" w:cs="Georgia" w:eastAsia="Georgia" w:hAnsi="Georgia"/>
          <w:sz w:val="22"/>
          <w:szCs w:val="22"/>
        </w:rPr>
        <w:t xml:space="preserve">[1] Du, Y., Li, S., Torralba, A., Tenenbaum, J.B., &amp; Mordatch, I. (2023). Improving factuality and reasoning in language models through multiagent debate. Proceedings of the 40th International Conference on Machine Learning (ICML 2023). arXiv:2305.14325.</w:t>
      </w:r>
    </w:p>
    <w:p>
      <w:pPr>
        <w:spacing w:after="140" w:before="0" w:line="280" w:lineRule="auto"/>
        <w:jc w:val="both"/>
      </w:pPr>
      <w:r>
        <w:rPr>
          <w:rFonts w:ascii="Georgia" w:cs="Georgia" w:eastAsia="Georgia" w:hAnsi="Georgia"/>
          <w:sz w:val="22"/>
          <w:szCs w:val="22"/>
        </w:rPr>
        <w:t xml:space="preserve">[2] Wang, X., Wei, J., Schuurmans, D., Le, Q., Chi, E., Narang, S., Chowdhery, A., &amp; Zhou, D. (2022). Self-consistency improves chain of thought reasoning in language models. International Conference on Learning Representations (ICLR 2023). arXiv:2203.11171.</w:t>
      </w:r>
    </w:p>
    <w:p>
      <w:pPr>
        <w:spacing w:after="140" w:before="0" w:line="280" w:lineRule="auto"/>
        <w:jc w:val="both"/>
      </w:pPr>
      <w:r>
        <w:rPr>
          <w:rFonts w:ascii="Georgia" w:cs="Georgia" w:eastAsia="Georgia" w:hAnsi="Georgia"/>
          <w:sz w:val="22"/>
          <w:szCs w:val="22"/>
        </w:rPr>
        <w:t xml:space="preserve">[3] Khan, A., Hughes, J., Valentine, D., Ruis, L., Sachan, K., Radhakrishnan, A., Grefenstette, E., Bowman, S.R., Rocktäschel, T., &amp; Perez, E. (2024). Debating with more persuasive LLMs leads to more truthful answers. Advances in Neural Information Processing Systems (NeurIPS 2024). arXiv:2402.06782.</w:t>
      </w:r>
    </w:p>
    <w:p>
      <w:pPr>
        <w:spacing w:after="140" w:before="0" w:line="280" w:lineRule="auto"/>
        <w:jc w:val="both"/>
      </w:pPr>
      <w:r>
        <w:rPr>
          <w:rFonts w:ascii="Georgia" w:cs="Georgia" w:eastAsia="Georgia" w:hAnsi="Georgia"/>
          <w:sz w:val="22"/>
          <w:szCs w:val="22"/>
        </w:rPr>
        <w:t xml:space="preserve">[4] Liang, T., He, Z., Jiao, W., Wang, X., Wang, Y., Wang, R., Yang, Y., Tu, Z., &amp; Shi, S. (2023). Encouraging divergent thinking in large language models through debate. arXiv:2305.19118.</w:t>
      </w:r>
    </w:p>
    <w:p>
      <w:pPr>
        <w:spacing w:after="140" w:before="0" w:line="280" w:lineRule="auto"/>
        <w:jc w:val="both"/>
      </w:pPr>
      <w:r>
        <w:rPr>
          <w:rFonts w:ascii="Georgia" w:cs="Georgia" w:eastAsia="Georgia" w:hAnsi="Georgia"/>
          <w:sz w:val="22"/>
          <w:szCs w:val="22"/>
        </w:rPr>
        <w:t xml:space="preserve">[5] Wei, J., Wang, X., Schuurmans, D., Bosma, M., Ichter, B., Xia, F., Chi, E., Le, Q., &amp; Zhou, D. (2022). Chain-of-thought prompting elicits reasoning in large language models. Advances in Neural Information Processing Systems (NeurIPS 2022).</w:t>
      </w:r>
    </w:p>
    <w:p>
      <w:pPr>
        <w:spacing w:after="140" w:before="0" w:line="280" w:lineRule="auto"/>
        <w:jc w:val="both"/>
      </w:pPr>
      <w:r>
        <w:rPr>
          <w:rFonts w:ascii="Georgia" w:cs="Georgia" w:eastAsia="Georgia" w:hAnsi="Georgia"/>
          <w:sz w:val="22"/>
          <w:szCs w:val="22"/>
        </w:rPr>
        <w:t xml:space="preserve">[6] Yao, S., Yu, D., Zhao, J., Shafran, I., Griffiths, T.L., Cao, Y., &amp; Narasimhan, K. (2023). Tree of thoughts: Deliberate problem solving with large language models. arXiv:2305.10601.</w:t>
      </w:r>
    </w:p>
    <w:p>
      <w:pPr>
        <w:spacing w:after="140" w:before="0" w:line="280" w:lineRule="auto"/>
        <w:jc w:val="both"/>
      </w:pPr>
      <w:r>
        <w:rPr>
          <w:rFonts w:ascii="Georgia" w:cs="Georgia" w:eastAsia="Georgia" w:hAnsi="Georgia"/>
          <w:sz w:val="22"/>
          <w:szCs w:val="22"/>
        </w:rPr>
        <w:t xml:space="preserve">[7] Nickerson, R.S. (1998). Confirmation bias: A ubiquitous phenomenon in many guises. Psychological Bulletin, 175(2), 175-220.</w:t>
      </w:r>
    </w:p>
    <w:p>
      <w:pPr>
        <w:spacing w:after="140" w:before="0" w:line="280" w:lineRule="auto"/>
        <w:jc w:val="both"/>
      </w:pPr>
      <w:r>
        <w:rPr>
          <w:rFonts w:ascii="Georgia" w:cs="Georgia" w:eastAsia="Georgia" w:hAnsi="Georgia"/>
          <w:sz w:val="22"/>
          <w:szCs w:val="22"/>
        </w:rPr>
        <w:t xml:space="preserve">[8] Klein, G. (1998). Sources of Power: How People Make Decisions. MIT Press.</w:t>
      </w:r>
    </w:p>
    <w:p>
      <w:pPr>
        <w:spacing w:after="140" w:before="0" w:line="280" w:lineRule="auto"/>
        <w:jc w:val="both"/>
      </w:pPr>
      <w:r>
        <w:rPr>
          <w:rFonts w:ascii="Georgia" w:cs="Georgia" w:eastAsia="Georgia" w:hAnsi="Georgia"/>
          <w:sz w:val="22"/>
          <w:szCs w:val="22"/>
        </w:rPr>
        <w:t xml:space="preserve">[9] Klein, G. (2007). Performing a project premortem. Harvard Business Review, 85(9), 18-19.</w:t>
      </w:r>
    </w:p>
    <w:p>
      <w:pPr>
        <w:spacing w:after="140" w:before="0" w:line="280" w:lineRule="auto"/>
        <w:jc w:val="both"/>
      </w:pPr>
      <w:r>
        <w:rPr>
          <w:rFonts w:ascii="Georgia" w:cs="Georgia" w:eastAsia="Georgia" w:hAnsi="Georgia"/>
          <w:sz w:val="22"/>
          <w:szCs w:val="22"/>
        </w:rPr>
        <w:t xml:space="preserve">[10] Langbein, J.H. (2003). The Origins of Adversary Criminal Trial. Oxford University Press.</w:t>
      </w:r>
    </w:p>
    <w:p>
      <w:pPr>
        <w:spacing w:after="140" w:before="0" w:line="280" w:lineRule="auto"/>
        <w:jc w:val="both"/>
      </w:pPr>
      <w:r>
        <w:rPr>
          <w:rFonts w:ascii="Georgia" w:cs="Georgia" w:eastAsia="Georgia" w:hAnsi="Georgia"/>
          <w:sz w:val="22"/>
          <w:szCs w:val="22"/>
        </w:rPr>
        <w:t xml:space="preserve">[11] Damasˇka, M.R. (1986). The Faces of Justice and State Authority: A Comparative Approach to the Legal Process. Yale University Press.</w:t>
      </w:r>
    </w:p>
    <w:p>
      <w:pPr>
        <w:spacing w:after="140" w:before="0" w:line="280" w:lineRule="auto"/>
        <w:jc w:val="both"/>
      </w:pPr>
      <w:r>
        <w:rPr>
          <w:rFonts w:ascii="Georgia" w:cs="Georgia" w:eastAsia="Georgia" w:hAnsi="Georgia"/>
          <w:sz w:val="22"/>
          <w:szCs w:val="22"/>
        </w:rPr>
        <w:t xml:space="preserve">[12] Ioannidis, J.P.A. (2005). Why most published research findings are false. PLOS Medicine, 2(8), e124. DOI:10.1371/journal.pmed.0020124.</w:t>
      </w:r>
    </w:p>
    <w:p>
      <w:pPr>
        <w:spacing w:after="140" w:before="0" w:line="280" w:lineRule="auto"/>
        <w:jc w:val="both"/>
      </w:pPr>
      <w:r>
        <w:rPr>
          <w:rFonts w:ascii="Georgia" w:cs="Georgia" w:eastAsia="Georgia" w:hAnsi="Georgia"/>
          <w:sz w:val="22"/>
          <w:szCs w:val="22"/>
        </w:rPr>
        <w:t xml:space="preserve">[13] Munafò, M.R., Nosek, B.A., Bishop, D.V.M., et al. (2017). A manifesto for reproducible science. Nature Human Behaviour, 1, 0021. DOI:10.1038/s41562-016-0021.</w:t>
      </w:r>
    </w:p>
    <w:p>
      <w:pPr>
        <w:spacing w:after="140" w:before="0" w:line="280" w:lineRule="auto"/>
        <w:jc w:val="both"/>
      </w:pPr>
      <w:r>
        <w:rPr>
          <w:rFonts w:ascii="Georgia" w:cs="Georgia" w:eastAsia="Georgia" w:hAnsi="Georgia"/>
          <w:sz w:val="22"/>
          <w:szCs w:val="22"/>
        </w:rPr>
        <w:t xml:space="preserve">[14] Lewis, P., Perez, E., Piktus, A., Petroni, F., Karpukhin, V., Goyal, N., et al. (2020). Retrieval-augmented generation for knowledge-intensive NLP tasks. Advances in Neural Information Processing Systems (NeurIPS 2020). arXiv:2005.11401.</w:t>
      </w:r>
    </w:p>
    <w:p>
      <w:pPr>
        <w:spacing w:after="140" w:before="0" w:line="280" w:lineRule="auto"/>
        <w:jc w:val="both"/>
      </w:pPr>
      <w:r>
        <w:rPr>
          <w:rFonts w:ascii="Georgia" w:cs="Georgia" w:eastAsia="Georgia" w:hAnsi="Georgia"/>
          <w:sz w:val="22"/>
          <w:szCs w:val="22"/>
        </w:rPr>
        <w:t xml:space="preserve">[15] Ji, Z., Lee, N., Frieske, R., Yu, T., Su, D., Xu, Y., Ishii, E., Bang, Y., Madotto, A., &amp; Fung, P. (2023). Survey of hallucination in natural language generation. ACM Computing Surveys, 55(12), 248:1-248:38. DOI:10.1145/3571730.</w:t>
      </w:r>
    </w:p>
    <w:p>
      <w:pPr>
        <w:spacing w:after="140" w:before="0" w:line="280" w:lineRule="auto"/>
        <w:jc w:val="both"/>
      </w:pPr>
      <w:r>
        <w:rPr>
          <w:rFonts w:ascii="Georgia" w:cs="Georgia" w:eastAsia="Georgia" w:hAnsi="Georgia"/>
          <w:sz w:val="22"/>
          <w:szCs w:val="22"/>
        </w:rPr>
        <w:t xml:space="preserve">[16] U.S. Food and Drug Administration (2012). Drug Safety Communication: New restrictions, contraindications, and dose limitations for Zocor (simvastatin) to reduce the risk of muscle injury. Available at: https://www.fda.gov/drugs/drug-safety-and-availability/fda-drug-safety-communication-new-restrictions-contraindications-and-dose-limitations-zocor.</w:t>
      </w:r>
    </w:p>
    <w:p>
      <w:pPr>
        <w:spacing w:after="140" w:before="0" w:line="280" w:lineRule="auto"/>
        <w:jc w:val="both"/>
      </w:pPr>
      <w:r>
        <w:rPr>
          <w:rFonts w:ascii="Georgia" w:cs="Georgia" w:eastAsia="Georgia" w:hAnsi="Georgia"/>
          <w:sz w:val="22"/>
          <w:szCs w:val="22"/>
        </w:rPr>
        <w:t xml:space="preserve">[17] Wiggins, B.S., Saseen, J.J., Page, R.L., Reed, B.N., Sneed, K., Kostis, J.B., Lanfear, D., Virani, S., &amp; Sperling, L. (2016). Recommendations for management of clinically significant drug-drug interactions with statins and select agents. Circulation, 134(21), e468-e495. DOI:10.1161/CIR.0000000000000456.</w:t>
      </w:r>
    </w:p>
    <w:p>
      <w:pPr>
        <w:spacing w:after="140" w:before="0" w:line="280" w:lineRule="auto"/>
        <w:jc w:val="both"/>
      </w:pPr>
      <w:r>
        <w:rPr>
          <w:rFonts w:ascii="Georgia" w:cs="Georgia" w:eastAsia="Georgia" w:hAnsi="Georgia"/>
          <w:sz w:val="22"/>
          <w:szCs w:val="22"/>
        </w:rPr>
        <w:t xml:space="preserve">[18] Pan, S., Luo, L., Wang, Y., Chen, C., Wang, J., &amp; Wu, X. (2024). Unifying large language models and knowledge graphs: A roadmap. IEEE Transactions on Knowledge and Data Engineering. DOI:10.1109/TKDE.2024.3352100.</w:t>
      </w:r>
    </w:p>
    <w:p>
      <w:pPr>
        <w:spacing w:after="140" w:before="0" w:line="280" w:lineRule="auto"/>
        <w:jc w:val="both"/>
      </w:pPr>
      <w:r>
        <w:rPr>
          <w:rFonts w:ascii="Georgia" w:cs="Georgia" w:eastAsia="Georgia" w:hAnsi="Georgia"/>
          <w:sz w:val="22"/>
          <w:szCs w:val="22"/>
        </w:rPr>
        <w:t xml:space="preserve">[19] Chan, C.M., Chen, W., Su, Y., Yu, J., Xue, W., Zhang, S., Fu, J., &amp; Liu, Z. (2023). ChatEval: Towards better LLM-based evaluators through multi-agent debate. arXiv:2308.07201.</w:t>
      </w:r>
    </w:p>
    <w:p>
      <w:pPr>
        <w:spacing w:after="80" w:before="0"/>
      </w:pPr>
    </w:p>
    <w:p>
      <w:pPr>
        <w:spacing w:after="120" w:before="280"/>
      </w:pPr>
      <w:r>
        <w:rPr>
          <w:rFonts w:ascii="Georgia" w:cs="Georgia" w:eastAsia="Georgia" w:hAnsi="Georgia"/>
          <w:b/>
          <w:bCs/>
          <w:color w:val="1a2744"/>
          <w:sz w:val="28"/>
          <w:szCs w:val="28"/>
        </w:rPr>
        <w:t xml:space="preserve">Adversarial Self-Audit</w:t>
      </w:r>
    </w:p>
    <w:p>
      <w:pPr>
        <w:spacing w:after="140" w:before="0" w:line="280" w:lineRule="auto"/>
        <w:jc w:val="both"/>
      </w:pPr>
      <w:r>
        <w:rPr>
          <w:rFonts w:ascii="Georgia" w:cs="Georgia" w:eastAsia="Georgia" w:hAnsi="Georgia"/>
          <w:sz w:val="22"/>
          <w:szCs w:val="22"/>
        </w:rPr>
        <w:t xml:space="preserve">Before finalising this report, the following questions were asked of the audit itself:</w:t>
      </w:r>
    </w:p>
    <w:p>
      <w:pPr>
        <w:spacing w:after="60" w:before="0"/>
      </w:pP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AI researcher: "Which sentence would you attack first?" -- The universal performance claims. Adequately flagged as Critical.</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Legal historian: "What is wrong with the legal history?" -- The inquisitorial/adversarial comparison as a simple progression. Adequately flagged as Critical.</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Physician: "What medical detail is unverifiable?" -- The 2021 pharmacogenomics study in the drug interaction example. Adequately flagged as Critical.</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Statistician: "Is an analogy being presented as evidence?" -- The legal-history analogy. Flagged and a correction prescribed that preserves the analogy while removing the false comparative claim.</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Is model agreement confused with evidence independence? -- The article's "count evidence not voices" section addresses this correctly. That section is sound and should be strengthened, not weakened.</w:t>
      </w:r>
    </w:p>
    <w:p>
      <w:pPr>
        <w:spacing w:after="80" w:before="0"/>
        <w:ind w:left="360"/>
      </w:pPr>
      <w:r>
        <w:rPr>
          <w:rFonts w:ascii="Georgia" w:cs="Georgia" w:eastAsia="Georgia" w:hAnsi="Georgia"/>
          <w:b/>
          <w:bCs/>
          <w:sz w:val="22"/>
          <w:szCs w:val="22"/>
        </w:rPr>
        <w:t xml:space="preserve">•  </w:t>
      </w:r>
      <w:r>
        <w:rPr>
          <w:rFonts w:ascii="Georgia" w:cs="Georgia" w:eastAsia="Georgia" w:hAnsi="Georgia"/>
          <w:sz w:val="22"/>
          <w:szCs w:val="22"/>
        </w:rPr>
        <w:t xml:space="preserve">Is any citation merely decorative? -- No citations currently exist in the article; all references in Stage 4 will be functional, not decorative.</w:t>
      </w:r>
    </w:p>
    <w:p>
      <w:pPr>
        <w:spacing w:after="100" w:before="0"/>
      </w:pPr>
    </w:p>
    <w:p>
      <w:pPr>
        <w:spacing w:after="140" w:before="0" w:line="280" w:lineRule="auto"/>
        <w:jc w:val="both"/>
      </w:pPr>
      <w:r>
        <w:rPr>
          <w:rFonts w:ascii="Georgia" w:cs="Georgia" w:eastAsia="Georgia" w:hAnsi="Georgia"/>
          <w:b/>
          <w:bCs/>
          <w:color w:val="1a2744"/>
          <w:sz w:val="22"/>
          <w:szCs w:val="22"/>
        </w:rPr>
        <w:t xml:space="preserve">END OF STAGES 1 AND 2</w:t>
      </w:r>
    </w:p>
    <w:p>
      <w:pPr>
        <w:spacing w:after="140" w:before="0" w:line="280" w:lineRule="auto"/>
        <w:jc w:val="both"/>
      </w:pPr>
      <w:r>
        <w:rPr>
          <w:rFonts w:ascii="Georgia" w:cs="Georgia" w:eastAsia="Georgia" w:hAnsi="Georgia"/>
          <w:i/>
          <w:iCs/>
          <w:color w:val="555555"/>
          <w:sz w:val="22"/>
          <w:szCs w:val="22"/>
        </w:rPr>
        <w:t xml:space="preserve">Stage 3 (Revised Article with Editorial Notes) and Stage 4 (Clean Publication Version) follow as separate Word files.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2026-08-03T03:52:46.405Z</dcterms:created>
  <dcterms:modified xsi:type="dcterms:W3CDTF">2026-08-03T03:52:46.413Z</dcterms:modified>
</cp:coreProperties>
</file>

<file path=docProps/custom.xml><?xml version="1.0" encoding="utf-8"?>
<Properties xmlns="http://schemas.openxmlformats.org/officeDocument/2006/custom-properties" xmlns:vt="http://schemas.openxmlformats.org/officeDocument/2006/docPropsVTypes"/>
</file>