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tl w:val="0"/>
        </w:rPr>
        <w:t xml:space="preserve">  [Online]. [Accessed: 25.01.2020].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Wasserman 2010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tl w:val="0"/>
        </w:rPr>
        <w:t xml:space="preserve"> [Online]. [Accessed: 15.02.2020].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Jussi Koskinen. Software maintenance costs. Jyvaskyl ¨ a: University of Jyv ¨ askyl ¨ a¨, 2010.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tl w:val="0"/>
        </w:rPr>
        <w:t xml:space="preserve"> [Online]. [Accessed: 05.04.2020].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tl w:val="0"/>
        </w:rPr>
        <w:t xml:space="preserve">  [Online]. [Accessed: 05.04.2020].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tl w:val="0"/>
        </w:rPr>
        <w:t xml:space="preserve">[Online]. [Accessed: 12.04.2020].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tl w:val="0"/>
        </w:rPr>
        <w:t xml:space="preserve"> [Online]. [Accessed: 13.04.2020].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https://developer.android.com/guide/components/fundamentals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https://developer.android.com/guide/components/activities/activity-lifecycle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sz w:val="22"/>
          <w:szCs w:val="22"/>
        </w:rPr>
      </w:pPr>
      <w:bookmarkStart w:colFirst="0" w:colLast="0" w:name="_b8mcq4yhwj5l" w:id="0"/>
      <w:bookmarkEnd w:id="0"/>
      <w:r w:rsidDel="00000000" w:rsidR="00000000" w:rsidRPr="00000000">
        <w:rPr>
          <w:sz w:val="22"/>
          <w:szCs w:val="22"/>
          <w:rtl w:val="0"/>
        </w:rPr>
        <w:t xml:space="preserve">Clean Architecture: A Craftsman's Guide to Software Structure and Design, First Edition 2018 Pearson Education, Inc.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https://developer.android.com/reference/android/app/Activity#onRestart()</w:t>
        </w:r>
      </w:hyperlink>
      <w:r w:rsidDel="00000000" w:rsidR="00000000" w:rsidRPr="00000000">
        <w:rPr>
          <w:rtl w:val="0"/>
        </w:rPr>
        <w:t xml:space="preserve"> [Online] [Accessed: 14.04.2020].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https://developer.android.com/guide/components/fragments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https://developer.android.com/reference/android/app/Fragment#Lifecycle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https://developer.android.com/guide/components/services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Robert C Martin. Clean code: a handbook of agile software craftsmanship. Pearson Education, 2009.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Igor Bugayenko. Elegant Objects. </w:t>
      </w:r>
      <w:r w:rsidDel="00000000" w:rsidR="00000000" w:rsidRPr="00000000">
        <w:rPr>
          <w:color w:val="333333"/>
          <w:highlight w:val="white"/>
          <w:rtl w:val="0"/>
        </w:rPr>
        <w:t xml:space="preserve">Createspace Independent Publishing Platform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J. R. Mckee, “Maintenance </w:t>
      </w:r>
      <w:r w:rsidDel="00000000" w:rsidR="00000000" w:rsidRPr="00000000">
        <w:rPr>
          <w:highlight w:val="white"/>
          <w:rtl w:val="0"/>
        </w:rPr>
        <w:t xml:space="preserve">as </w:t>
      </w:r>
      <w:r w:rsidDel="00000000" w:rsidR="00000000" w:rsidRPr="00000000">
        <w:rPr>
          <w:highlight w:val="white"/>
          <w:rtl w:val="0"/>
        </w:rPr>
        <w:t xml:space="preserve">a Function of Design”. Proceedings AFIPS, National Computer Conference, Las Vegas, pp 187-93. 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Guidelines for Architecting Android Apps: A Mixed-Method Empirical Study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F.P. Brooks. The mythical man-month: essays on software engineering. Addison-Wesley Pub. Co., 1975.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Tale of Two Development Approach: Empirical Study on The Maintainability and Modularity of Android Mobile Application with Anti-Pattern and Model-View-Presenter Design Pattern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https://martinfowler.com/architecture/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[Online] [Accessed: 16.04.2020].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Philippe Kruchten, </w:t>
      </w:r>
      <w:r w:rsidDel="00000000" w:rsidR="00000000" w:rsidRPr="00000000">
        <w:rPr>
          <w:i w:val="1"/>
          <w:color w:val="323232"/>
          <w:highlight w:val="white"/>
          <w:rtl w:val="0"/>
        </w:rPr>
        <w:t xml:space="preserve">The Rational Unified Process: An Introduction</w:t>
      </w:r>
      <w:r w:rsidDel="00000000" w:rsidR="00000000" w:rsidRPr="00000000">
        <w:rPr>
          <w:color w:val="323232"/>
          <w:highlight w:val="white"/>
          <w:rtl w:val="0"/>
        </w:rPr>
        <w:t xml:space="preserve">, Third Edition. Addison-Wesley Professional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15" Type="http://schemas.openxmlformats.org/officeDocument/2006/relationships/hyperlink" Target="https://developer.android.com/guide/components/fragments" TargetMode="External"/><Relationship Id="rId14" Type="http://schemas.openxmlformats.org/officeDocument/2006/relationships/hyperlink" Target="https://developer.android.com/reference/android/app/Activity#onRestart()" TargetMode="External"/><Relationship Id="rId17" Type="http://schemas.openxmlformats.org/officeDocument/2006/relationships/hyperlink" Target="https://developer.android.com/guide/components/services" TargetMode="External"/><Relationship Id="rId16" Type="http://schemas.openxmlformats.org/officeDocument/2006/relationships/hyperlink" Target="https://developer.android.com/reference/android/app/Fragment#Lifecy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olice.com/2019/05/07/there-are-now-more-than-2-5-billion-active-android-devices/" TargetMode="External"/><Relationship Id="rId18" Type="http://schemas.openxmlformats.org/officeDocument/2006/relationships/hyperlink" Target="https://martinfowler.com/architecture/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