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4"/>
        </w:rPr>
        <w:t>NVD Vulnerability Intelligence Report</w:t>
      </w:r>
    </w:p>
    <w:p>
      <w:pPr>
        <w:jc w:val="center"/>
      </w:pPr>
      <w:r>
        <w:rPr>
          <w:i/>
          <w:color w:val="595959"/>
          <w:sz w:val="22"/>
        </w:rPr>
        <w:t>Automated Security Analysis &amp; Threat Trend Overview (2025)</w:t>
      </w:r>
    </w:p>
    <w:p/>
    <w:p>
      <w:pPr>
        <w:pStyle w:val="Heading1"/>
      </w:pPr>
      <w:r>
        <w:t>1. Executive Summary</w:t>
      </w:r>
    </w:p>
    <w:p>
      <w:r>
        <w:t>This automated report provides a high-level quantitative and visual summary of security vulnerabilities ingested, parsed, and processed directly from the NIST National Vulnerability Database (NVD) dataset. It is designed to offer stakeholders immediate insight into threat volumes and temporal distribution patterns.</w:t>
      </w:r>
    </w:p>
    <w:p>
      <w:pPr>
        <w:pStyle w:val="Heading1"/>
      </w:pPr>
      <w:r>
        <w:t>2. Pipeline &amp; Dataset Metrics</w:t>
      </w:r>
    </w:p>
    <w:p>
      <w:r>
        <w:t>The table below details core execution metrics captured during the data pipeline run:</w:t>
      </w:r>
    </w:p>
    <w:tbl>
      <w:tblPr>
        <w:tblStyle w:val="TableGrid"/>
        <w:tblW w:type="auto" w:w="0"/>
        <w:tblLook w:firstColumn="1" w:firstRow="1" w:lastColumn="0" w:lastRow="0" w:noHBand="0" w:noVBand="1" w:val="04A0"/>
      </w:tblPr>
      <w:tblGrid>
        <w:gridCol w:w="4680"/>
        <w:gridCol w:w="4680"/>
      </w:tblGrid>
      <w:tr>
        <w:tc>
          <w:tcPr>
            <w:tcW w:type="dxa" w:w="4680"/>
          </w:tcPr>
          <w:p>
            <w:r>
              <w:rPr>
                <w:b/>
              </w:rPr>
              <w:t>Metric Parameter</w:t>
            </w:r>
          </w:p>
        </w:tc>
        <w:tc>
          <w:tcPr>
            <w:tcW w:type="dxa" w:w="4680"/>
          </w:tcPr>
          <w:p>
            <w:r>
              <w:rPr>
                <w:b/>
              </w:rPr>
              <w:t>Recorded Value</w:t>
            </w:r>
          </w:p>
        </w:tc>
      </w:tr>
      <w:tr>
        <w:tc>
          <w:tcPr>
            <w:tcW w:type="dxa" w:w="4680"/>
          </w:tcPr>
          <w:p>
            <w:r>
              <w:t>Total Vulnerabilities Ingested</w:t>
            </w:r>
          </w:p>
        </w:tc>
        <w:tc>
          <w:tcPr>
            <w:tcW w:type="dxa" w:w="4680"/>
          </w:tcPr>
          <w:p>
            <w:r>
              <w:t>45,428</w:t>
            </w:r>
          </w:p>
        </w:tc>
      </w:tr>
      <w:tr>
        <w:tc>
          <w:tcPr>
            <w:tcW w:type="dxa" w:w="4680"/>
          </w:tcPr>
          <w:p>
            <w:r>
              <w:t>Source Dataset File</w:t>
            </w:r>
          </w:p>
        </w:tc>
        <w:tc>
          <w:tcPr>
            <w:tcW w:type="dxa" w:w="4680"/>
          </w:tcPr>
          <w:p>
            <w:r>
              <w:t>nvdcve-2.0-2025.json</w:t>
            </w:r>
          </w:p>
        </w:tc>
      </w:tr>
    </w:tbl>
    <w:p/>
    <w:p>
      <w:pPr>
        <w:pStyle w:val="Heading1"/>
      </w:pPr>
      <w:r>
        <w:t>3. Monthly Threat Volume Trend</w:t>
      </w:r>
    </w:p>
    <w:p>
      <w:r>
        <w:t>The high-resolution visualization below charts the monthly publication volume of CVEs, highlighting critical activity spikes and baseline publishing trends throughout the period:</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onthly_cve_trend.png"/>
                    <pic:cNvPicPr/>
                  </pic:nvPicPr>
                  <pic:blipFill>
                    <a:blip r:embed="rId9"/>
                    <a:stretch>
                      <a:fillRect/>
                    </a:stretch>
                  </pic:blipFill>
                  <pic:spPr>
                    <a:xfrm>
                      <a:off x="0" y="0"/>
                      <a:ext cx="5486400" cy="2743200"/>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