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1E3C72"/>
          <w:sz w:val="44"/>
        </w:rPr>
        <w:t>FUNCTIONAL SPECIFICATION DOCUMENT</w:t>
        <w:br/>
        <w:t>CTH Trade Finance Profitability &amp; Decompiler System</w:t>
      </w:r>
    </w:p>
    <w:p>
      <w:pPr>
        <w:jc w:val="center"/>
      </w:pPr>
      <w:r>
        <w:rPr>
          <w:rFonts w:ascii="Segoe UI" w:hAnsi="Segoe UI"/>
          <w:i/>
          <w:sz w:val="24"/>
        </w:rPr>
        <w:t>Finastra TI Plus Trade Innovation Integration Engine</w:t>
        <w:br/>
        <w:t>Version 1.0.0 | Date: October 2026 | Package: com.cth.tradefinance</w:t>
        <w:br/>
      </w:r>
    </w:p>
    <w:p>
      <w:pPr>
        <w:pStyle w:val="Heading1"/>
      </w:pPr>
      <w:r>
        <w:t>1. Executive Summary</w:t>
      </w:r>
    </w:p>
    <w:p>
      <w:r>
        <w:t>The CTH Trade Finance Profitability Analysis and Decompiler System is an enterprise Spring Boot web application built under the 'com.cth.tradefinance' package using Java 21 and Spring Boot 3.3.0. The platform provides dual core capabilities: (1) Ingestion and profitability analysis for Finastra Trade Innovation (TI Plus) trade finance transaction CSVs, and (2) An integrated CFR decompilation engine for uploading, decompiling, and inspecting JAR files online.</w:t>
      </w:r>
    </w:p>
    <w:p>
      <w:pPr>
        <w:pStyle w:val="Heading1"/>
      </w:pPr>
      <w:r>
        <w:t>2. System Architecture &amp; Tech Stack</w:t>
      </w:r>
    </w:p>
    <w:tbl>
      <w:tblPr>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Technology / Specification</w:t>
            </w:r>
          </w:p>
        </w:tc>
      </w:tr>
      <w:tr>
        <w:tc>
          <w:tcPr>
            <w:tcW w:type="dxa" w:w="4320"/>
          </w:tcPr>
          <w:p>
            <w:r>
              <w:t>Java SDK</w:t>
            </w:r>
          </w:p>
        </w:tc>
        <w:tc>
          <w:tcPr>
            <w:tcW w:type="dxa" w:w="4320"/>
          </w:tcPr>
          <w:p>
            <w:r>
              <w:t>Java 21 (Latest LTS)</w:t>
            </w:r>
          </w:p>
        </w:tc>
      </w:tr>
      <w:tr>
        <w:tc>
          <w:tcPr>
            <w:tcW w:type="dxa" w:w="4320"/>
          </w:tcPr>
          <w:p>
            <w:r>
              <w:t>Framework</w:t>
            </w:r>
          </w:p>
        </w:tc>
        <w:tc>
          <w:tcPr>
            <w:tcW w:type="dxa" w:w="4320"/>
          </w:tcPr>
          <w:p>
            <w:r>
              <w:t>Spring Boot 3.3.0 / Spring Security 6</w:t>
            </w:r>
          </w:p>
        </w:tc>
      </w:tr>
      <w:tr>
        <w:tc>
          <w:tcPr>
            <w:tcW w:type="dxa" w:w="4320"/>
          </w:tcPr>
          <w:p>
            <w:r>
              <w:t>Build Tool</w:t>
            </w:r>
          </w:p>
        </w:tc>
        <w:tc>
          <w:tcPr>
            <w:tcW w:type="dxa" w:w="4320"/>
          </w:tcPr>
          <w:p>
            <w:r>
              <w:t>Apache Maven 3.9</w:t>
            </w:r>
          </w:p>
        </w:tc>
      </w:tr>
      <w:tr>
        <w:tc>
          <w:tcPr>
            <w:tcW w:type="dxa" w:w="4320"/>
          </w:tcPr>
          <w:p>
            <w:r>
              <w:t>Decompiler Engine</w:t>
            </w:r>
          </w:p>
        </w:tc>
        <w:tc>
          <w:tcPr>
            <w:tcW w:type="dxa" w:w="4320"/>
          </w:tcPr>
          <w:p>
            <w:r>
              <w:t>CFR Java Decompiler (0.152)</w:t>
            </w:r>
          </w:p>
        </w:tc>
      </w:tr>
      <w:tr>
        <w:tc>
          <w:tcPr>
            <w:tcW w:type="dxa" w:w="4320"/>
          </w:tcPr>
          <w:p>
            <w:r>
              <w:t>Supported Databases</w:t>
            </w:r>
          </w:p>
        </w:tc>
        <w:tc>
          <w:tcPr>
            <w:tcW w:type="dxa" w:w="4320"/>
          </w:tcPr>
          <w:p>
            <w:r>
              <w:t>IBM DB2, Oracle Database, PostgreSQL, MS SQL Server, H2 / CSV</w:t>
            </w:r>
          </w:p>
        </w:tc>
      </w:tr>
      <w:tr>
        <w:tc>
          <w:tcPr>
            <w:tcW w:type="dxa" w:w="4320"/>
          </w:tcPr>
          <w:p>
            <w:r>
              <w:t>Real-time Communication</w:t>
            </w:r>
          </w:p>
        </w:tc>
        <w:tc>
          <w:tcPr>
            <w:tcW w:type="dxa" w:w="4320"/>
          </w:tcPr>
          <w:p>
            <w:r>
              <w:t>WebSocket &amp; STOMP Message Broker</w:t>
            </w:r>
          </w:p>
        </w:tc>
      </w:tr>
      <w:tr>
        <w:tc>
          <w:tcPr>
            <w:tcW w:type="dxa" w:w="4320"/>
          </w:tcPr>
          <w:p>
            <w:r>
              <w:t>API Documentation</w:t>
            </w:r>
          </w:p>
        </w:tc>
        <w:tc>
          <w:tcPr>
            <w:tcW w:type="dxa" w:w="4320"/>
          </w:tcPr>
          <w:p>
            <w:r>
              <w:t>Springdoc OpenAPI 3.0 / Swagger UI</w:t>
            </w:r>
          </w:p>
        </w:tc>
      </w:tr>
      <w:tr>
        <w:tc>
          <w:tcPr>
            <w:tcW w:type="dxa" w:w="4320"/>
          </w:tcPr>
          <w:p>
            <w:r>
              <w:t>Packaging &amp; Deployment</w:t>
            </w:r>
          </w:p>
        </w:tc>
        <w:tc>
          <w:tcPr>
            <w:tcW w:type="dxa" w:w="4320"/>
          </w:tcPr>
          <w:p>
            <w:r>
              <w:t>Standalone Fat JAR, Docker, Kubernetes manifests, Windows/Linux scripts</w:t>
            </w:r>
          </w:p>
        </w:tc>
      </w:tr>
    </w:tbl>
    <w:p>
      <w:pPr>
        <w:pStyle w:val="Heading1"/>
      </w:pPr>
      <w:r>
        <w:t>3. Database Configurations &amp; DDL</w:t>
      </w:r>
    </w:p>
    <w:p>
      <w:r>
        <w:t>The system supports configurable database connections via Spring Profiles ('db2', 'oracle', 'postgres', 'sqlserver', 'h2'). All schema DDL scripts are provided under 'src/main/resources/db/':</w:t>
        <w:br/>
        <w:t xml:space="preserve"> - schema-db2.sql</w:t>
        <w:br/>
        <w:t xml:space="preserve"> - schema-oracle.sql</w:t>
        <w:br/>
        <w:t xml:space="preserve"> - schema-postgres.sql</w:t>
        <w:br/>
        <w:t xml:space="preserve"> - schema-sqlserver.sql</w:t>
        <w:br/>
        <w:t xml:space="preserve"> - schema-h2.sql</w:t>
      </w:r>
    </w:p>
    <w:p>
      <w:pPr>
        <w:pStyle w:val="Heading1"/>
      </w:pPr>
      <w:r>
        <w:t>4. Security, LDAP &amp; Account Maintenance</w:t>
      </w:r>
    </w:p>
    <w:p>
      <w:r>
        <w:t>Security features include:</w:t>
        <w:br/>
        <w:t xml:space="preserve"> • Default Administrator account: 'admin' with default password 'Qwerty123$'.</w:t>
        <w:br/>
        <w:t xml:space="preserve"> • Password complexity enforcement (min 8 chars, uppercase, lowercase, digit, special char).</w:t>
        <w:br/>
        <w:t xml:space="preserve"> • Account lock/unlock and password expiration (90 days default validity).</w:t>
        <w:br/>
        <w:t xml:space="preserve"> • Toggle switch for Windows Active Directory / LDAP vs. Local Database authentication.</w:t>
        <w:br/>
        <w:t xml:space="preserve"> • Toggle switch for 2FA SMS/Email authentication.</w:t>
      </w:r>
    </w:p>
    <w:p>
      <w:pPr>
        <w:pStyle w:val="Heading1"/>
      </w:pPr>
      <w:r>
        <w:t>5. Trade Finance Profitability Formula</w:t>
      </w:r>
    </w:p>
    <w:p>
      <w:r>
        <w:t>Net Profitability = (Transaction Amount × Margin Percentage / 100) + Fee Amount</w:t>
        <w:br/>
        <w:t>The system reconciles input transaction CSVs with output response CSVs to confirm processed status.</w:t>
      </w:r>
    </w:p>
    <w:p>
      <w:pPr>
        <w:pStyle w:val="Heading1"/>
      </w:pPr>
      <w:r>
        <w:t>6. Execution &amp; Memory Management</w:t>
      </w:r>
    </w:p>
    <w:p>
      <w:r>
        <w:t>For optimal performance handling heavy decompilation and bulk CSV parsing, execution scripts set maximum JVM memory to 8GB:</w:t>
        <w:br/>
        <w:t xml:space="preserve"> • Windows: start.bat (java -Xms4g -Xmx8g -jar target/cth-trade-finance-1.0.0-SNAPSHOT.jar)</w:t>
        <w:br/>
        <w:t xml:space="preserve"> • Linux: start.sh (nohup java -Xms4g -Xmx8g -jar target/cth-trade-finance-1.0.0-SNAPSHOT.jar &amp;)</w:t>
        <w:br/>
        <w:t xml:space="preserve"> • Stop scripts: stop.bat, stop.sh</w:t>
        <w:br/>
        <w:t xml:space="preserve"> • Build script: build.bat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