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FUNCTIONAL SPECIFICATION &amp; SYSTEM WALKTHROUGH DOCUMENT</w:t>
        <w:br/>
      </w:r>
    </w:p>
    <w:p>
      <w:pPr>
        <w:jc w:val="center"/>
      </w:pPr>
      <w:r>
        <w:rPr>
          <w:i/>
          <w:color w:val="475569"/>
          <w:sz w:val="26"/>
        </w:rPr>
        <w:t>CTH Enterprise Dynamic Database &amp; User Management Application</w:t>
        <w:br/>
        <w:t>Package: com.cth.app | Java 21 | Spring Boot 3.2.5</w:t>
        <w:br/>
      </w:r>
    </w:p>
    <w:p>
      <w:pPr>
        <w:spacing w:after="400"/>
      </w:pPr>
    </w:p>
    <w:p>
      <w:pPr>
        <w:pStyle w:val="Heading1"/>
      </w:pPr>
      <w:r>
        <w:t>1. Executive Summary</w:t>
      </w:r>
    </w:p>
    <w:p>
      <w:r>
        <w:t>The CTH Enterprise Application is a production-grade, highly configurable Java Spring Boot web application designed for seamless deployment across Windows and Linux environments. It features dynamic database schema exploration, configurable online report generation, dual-mode authentication (Local DB + LDAP / Active Directory), account maintenance, realtime system monitoring, and complete API specification via Swagger UI.</w:t>
      </w:r>
    </w:p>
    <w:p>
      <w:pPr>
        <w:pStyle w:val="Heading1"/>
      </w:pPr>
      <w:r>
        <w:t>2. System Architecture &amp; Technology Stack</w:t>
      </w:r>
    </w:p>
    <w:p>
      <w:r>
        <w:t>The application leverages the latest industry-standard Java ecosystem:</w:t>
      </w:r>
    </w:p>
    <w:tbl>
      <w:tblPr>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 / Library</w:t>
            </w:r>
          </w:p>
        </w:tc>
        <w:tc>
          <w:tcPr>
            <w:tcW w:type="dxa" w:w="2880"/>
          </w:tcPr>
          <w:p>
            <w:r>
              <w:t>Specification &amp; Description</w:t>
            </w:r>
          </w:p>
        </w:tc>
      </w:tr>
      <w:tr>
        <w:tc>
          <w:tcPr>
            <w:tcW w:type="dxa" w:w="2880"/>
          </w:tcPr>
          <w:p>
            <w:r>
              <w:t>Runtime &amp; Language</w:t>
            </w:r>
          </w:p>
        </w:tc>
        <w:tc>
          <w:tcPr>
            <w:tcW w:type="dxa" w:w="2880"/>
          </w:tcPr>
          <w:p>
            <w:r>
              <w:t>Java 21 LTS</w:t>
            </w:r>
          </w:p>
        </w:tc>
        <w:tc>
          <w:tcPr>
            <w:tcW w:type="dxa" w:w="2880"/>
          </w:tcPr>
          <w:p>
            <w:r>
              <w:t>Latest OpenJDK LTS runtime with optimized virtual thread performance</w:t>
            </w:r>
          </w:p>
        </w:tc>
      </w:tr>
      <w:tr>
        <w:tc>
          <w:tcPr>
            <w:tcW w:type="dxa" w:w="2880"/>
          </w:tcPr>
          <w:p>
            <w:r>
              <w:t>Framework</w:t>
            </w:r>
          </w:p>
        </w:tc>
        <w:tc>
          <w:tcPr>
            <w:tcW w:type="dxa" w:w="2880"/>
          </w:tcPr>
          <w:p>
            <w:r>
              <w:t>Spring Boot 3.2.5</w:t>
            </w:r>
          </w:p>
        </w:tc>
        <w:tc>
          <w:tcPr>
            <w:tcW w:type="dxa" w:w="2880"/>
          </w:tcPr>
          <w:p>
            <w:r>
              <w:t>Spring Web MVC, Spring Security, Spring Data JPA, Spring Data LDAP, JavaMail</w:t>
            </w:r>
          </w:p>
        </w:tc>
      </w:tr>
      <w:tr>
        <w:tc>
          <w:tcPr>
            <w:tcW w:type="dxa" w:w="2880"/>
          </w:tcPr>
          <w:p>
            <w:r>
              <w:t>Multi-Database Support</w:t>
            </w:r>
          </w:p>
        </w:tc>
        <w:tc>
          <w:tcPr>
            <w:tcW w:type="dxa" w:w="2880"/>
          </w:tcPr>
          <w:p>
            <w:r>
              <w:t>Oracle 23c, PostgreSQL 16, SQL Server, H2</w:t>
            </w:r>
          </w:p>
        </w:tc>
        <w:tc>
          <w:tcPr>
            <w:tcW w:type="dxa" w:w="2880"/>
          </w:tcPr>
          <w:p>
            <w:r>
              <w:t>Configurable JDBC drivers with schema DDL/DML scripts provided</w:t>
            </w:r>
          </w:p>
        </w:tc>
      </w:tr>
      <w:tr>
        <w:tc>
          <w:tcPr>
            <w:tcW w:type="dxa" w:w="2880"/>
          </w:tcPr>
          <w:p>
            <w:r>
              <w:t>Frontend &amp; UI</w:t>
            </w:r>
          </w:p>
        </w:tc>
        <w:tc>
          <w:tcPr>
            <w:tcW w:type="dxa" w:w="2880"/>
          </w:tcPr>
          <w:p>
            <w:r>
              <w:t>Thymeleaf + Bootstrap 5 + Bootstrap Icons</w:t>
            </w:r>
          </w:p>
        </w:tc>
        <w:tc>
          <w:tcPr>
            <w:tcW w:type="dxa" w:w="2880"/>
          </w:tcPr>
          <w:p>
            <w:r>
              <w:t>Responsive dashboard, realtime metric polling, user management UI</w:t>
            </w:r>
          </w:p>
        </w:tc>
      </w:tr>
      <w:tr>
        <w:tc>
          <w:tcPr>
            <w:tcW w:type="dxa" w:w="2880"/>
          </w:tcPr>
          <w:p>
            <w:r>
              <w:t>API Documentation</w:t>
            </w:r>
          </w:p>
        </w:tc>
        <w:tc>
          <w:tcPr>
            <w:tcW w:type="dxa" w:w="2880"/>
          </w:tcPr>
          <w:p>
            <w:r>
              <w:t>SpringDoc OpenAPI 2.5 (Swagger UI)</w:t>
            </w:r>
          </w:p>
        </w:tc>
        <w:tc>
          <w:tcPr>
            <w:tcW w:type="dxa" w:w="2880"/>
          </w:tcPr>
          <w:p>
            <w:r>
              <w:t>Interactive REST endpoint documentation available at /swagger-ui.html</w:t>
            </w:r>
          </w:p>
        </w:tc>
      </w:tr>
      <w:tr>
        <w:tc>
          <w:tcPr>
            <w:tcW w:type="dxa" w:w="2880"/>
          </w:tcPr>
          <w:p>
            <w:r>
              <w:t>Build &amp; Deployment</w:t>
            </w:r>
          </w:p>
        </w:tc>
        <w:tc>
          <w:tcPr>
            <w:tcW w:type="dxa" w:w="2880"/>
          </w:tcPr>
          <w:p>
            <w:r>
              <w:t>Maven, Shell (.sh) and Batch (.bat)</w:t>
            </w:r>
          </w:p>
        </w:tc>
        <w:tc>
          <w:tcPr>
            <w:tcW w:type="dxa" w:w="2880"/>
          </w:tcPr>
          <w:p>
            <w:r>
              <w:t>start.bat / start.sh, stop.bat / stop.sh, build.bat / build.sh</w:t>
            </w:r>
          </w:p>
        </w:tc>
      </w:tr>
    </w:tbl>
    <w:p>
      <w:pPr>
        <w:pStyle w:val="Heading1"/>
      </w:pPr>
      <w:r>
        <w:t>3. Functional Modules &amp; Requirements Specification</w:t>
      </w:r>
    </w:p>
    <w:p>
      <w:pPr>
        <w:pStyle w:val="Heading2"/>
      </w:pPr>
      <w:r>
        <w:t>3.1 Dynamic Application &amp; Database Configuration</w:t>
      </w:r>
    </w:p>
    <w:p>
      <w:r>
        <w:t>Users can configure the application name, database type (Oracle, PostgreSQL, SQL Server, H2), connection URL, and credentials via the frontend Settings UI without requiring code recompilation. Settings are safely stored in application-custom.properties.</w:t>
      </w:r>
    </w:p>
    <w:p>
      <w:pPr>
        <w:pStyle w:val="Heading2"/>
      </w:pPr>
      <w:r>
        <w:t>3.2 Authentication &amp; User Security</w:t>
      </w:r>
    </w:p>
    <w:p>
      <w:r>
        <w:t>Supports dual-mode authentication:</w:t>
        <w:br/>
        <w:t>1. Local Database Auth: Validates hashed passwords, enforces lockout after configurable failed attempts (default 5), and checks password expiration (default 90 days).</w:t>
        <w:br/>
        <w:t>2. LDAP / Active Directory Auth: Configurable LDAP URL, Base DN, and User DN patterns.</w:t>
        <w:br/>
        <w:t>3. Notification Switch: Toggle for SMS / Email MFA verification code notifications upon registration.</w:t>
      </w:r>
    </w:p>
    <w:p>
      <w:pPr>
        <w:pStyle w:val="Heading2"/>
      </w:pPr>
      <w:r>
        <w:t>3.3 Database Explorer &amp; Configurable Online Reports</w:t>
      </w:r>
    </w:p>
    <w:p>
      <w:r>
        <w:t>Inspects database metadata dynamically via JDBC Connection Metadata. Displays table column names, data types, sizes, and nullability. Users can execute dynamic parameterized SELECT queries, save report templates, and export results as CSV.</w:t>
      </w:r>
    </w:p>
    <w:p>
      <w:pPr>
        <w:pStyle w:val="Heading2"/>
      </w:pPr>
      <w:r>
        <w:t>3.4 Real-time Operations Dashboard</w:t>
      </w:r>
    </w:p>
    <w:p>
      <w:r>
        <w:t>Displays real-time user counts, table counts, database connection health, and JVM memory heap usage. Polled automatically every 3 seconds for continuous monitoring.</w:t>
      </w:r>
    </w:p>
    <w:p>
      <w:pPr>
        <w:pStyle w:val="Heading1"/>
      </w:pPr>
      <w:r>
        <w:t>4. Installation &amp; Operational Walkthrough</w:t>
      </w:r>
    </w:p>
    <w:p>
      <w:r>
        <w:t>Windows Environment:</w:t>
      </w:r>
    </w:p>
    <w:p>
      <w:pPr>
        <w:pStyle w:val="ListBullet"/>
      </w:pPr>
      <w:r>
        <w:t xml:space="preserve">  - Build: Execute build.bat</w:t>
        <w:br/>
        <w:t xml:space="preserve">  - Start: Execute start.bat</w:t>
        <w:br/>
        <w:t xml:space="preserve">  - Stop: Execute stop.bat</w:t>
      </w:r>
    </w:p>
    <w:p>
      <w:r>
        <w:t>Linux Environment:</w:t>
      </w:r>
    </w:p>
    <w:p>
      <w:pPr>
        <w:pStyle w:val="ListBullet"/>
      </w:pPr>
      <w:r>
        <w:t xml:space="preserve">  - Build: Execute ./build.sh</w:t>
        <w:br/>
        <w:t xml:space="preserve">  - Start: Execute ./start.sh</w:t>
        <w:br/>
        <w:t xml:space="preserve">  - Stop: Execute ./stop.sh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