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2"/>
        </w:rPr>
        <w:t>FUNCTIONAL SPECIFICATION DOCUMENT</w:t>
        <w:br/>
      </w:r>
      <w:r>
        <w:rPr>
          <w:color w:val="64748B"/>
          <w:sz w:val="28"/>
        </w:rPr>
        <w:t>CTH DataMatch &amp; Custom Reporting Studio</w:t>
        <w:br/>
        <w:t>Java Spring Boot 3 &amp; Multi-Database Enterprise Edition</w:t>
      </w:r>
    </w:p>
    <w:p>
      <w:r>
        <w:br/>
        <w:br/>
        <w:br/>
        <w:br/>
      </w:r>
    </w:p>
    <w:tbl>
      <w:tblPr>
        <w:tblW w:type="auto" w:w="0"/>
        <w:jc w:val="center"/>
        <w:tblLook w:firstColumn="1" w:firstRow="1" w:lastColumn="0" w:lastRow="0" w:noHBand="0" w:noVBand="1" w:val="04A0"/>
      </w:tblPr>
      <w:tblGrid>
        <w:gridCol w:w="4320"/>
        <w:gridCol w:w="4320"/>
      </w:tblGrid>
      <w:tr>
        <w:tc>
          <w:tcPr>
            <w:tcW w:type="dxa" w:w="4320"/>
          </w:tcPr>
          <w:p>
            <w:r>
              <w:rPr>
                <w:b/>
              </w:rPr>
              <w:t>System Name:</w:t>
            </w:r>
          </w:p>
        </w:tc>
        <w:tc>
          <w:tcPr>
            <w:tcW w:type="dxa" w:w="4320"/>
          </w:tcPr>
          <w:p>
            <w:r>
              <w:t>CTH DataMatch Studio</w:t>
            </w:r>
          </w:p>
        </w:tc>
      </w:tr>
      <w:tr>
        <w:tc>
          <w:tcPr>
            <w:tcW w:type="dxa" w:w="4320"/>
          </w:tcPr>
          <w:p>
            <w:r>
              <w:rPr>
                <w:b/>
              </w:rPr>
              <w:t>Package Scope:</w:t>
            </w:r>
          </w:p>
        </w:tc>
        <w:tc>
          <w:tcPr>
            <w:tcW w:type="dxa" w:w="4320"/>
          </w:tcPr>
          <w:p>
            <w:r>
              <w:t>com.cth.datamatch</w:t>
            </w:r>
          </w:p>
        </w:tc>
      </w:tr>
      <w:tr>
        <w:tc>
          <w:tcPr>
            <w:tcW w:type="dxa" w:w="4320"/>
          </w:tcPr>
          <w:p>
            <w:r>
              <w:rPr>
                <w:b/>
              </w:rPr>
              <w:t>Target Platform:</w:t>
            </w:r>
          </w:p>
        </w:tc>
        <w:tc>
          <w:tcPr>
            <w:tcW w:type="dxa" w:w="4320"/>
          </w:tcPr>
          <w:p>
            <w:r>
              <w:t>Windows Server / Linux Enterprise RHEL/Ubuntu</w:t>
            </w:r>
          </w:p>
        </w:tc>
      </w:tr>
      <w:tr>
        <w:tc>
          <w:tcPr>
            <w:tcW w:type="dxa" w:w="4320"/>
          </w:tcPr>
          <w:p>
            <w:r>
              <w:rPr>
                <w:b/>
              </w:rPr>
              <w:t>Document Version:</w:t>
            </w:r>
          </w:p>
        </w:tc>
        <w:tc>
          <w:tcPr>
            <w:tcW w:type="dxa" w:w="4320"/>
          </w:tcPr>
          <w:p>
            <w:r>
              <w:t>1.0.0 Final</w:t>
            </w:r>
          </w:p>
        </w:tc>
      </w:tr>
    </w:tbl>
    <w:p>
      <w:r>
        <w:br w:type="page"/>
      </w:r>
    </w:p>
    <w:p>
      <w:pPr>
        <w:pStyle w:val="Heading1"/>
      </w:pPr>
      <w:r>
        <w:t>1. Executive Overview &amp; Business Objective</w:t>
      </w:r>
    </w:p>
    <w:p>
      <w:r>
        <w:t>The CTH DataMatch Studio is a high-performance Java Spring Boot web application designed for enterprise data reconciliation, CSV/Excel dataset comparison, dynamic SQL query generation, and real-time operational dashboard monitoring. Engineered under the com.cth package structure, the platform features multi-database dynamic target support (IBM DB2 primary with PostgreSQL, Oracle, SQL Server, and embedded H2 fallbacks), switchable authentication (Database vs. Windows Active Directory LDAP), SMS/Email account verification toggles, and cross-platform automated execution scripts.</w:t>
      </w:r>
    </w:p>
    <w:p>
      <w:pPr>
        <w:pStyle w:val="Heading1"/>
      </w:pPr>
      <w:r>
        <w:t>2. Technical Architecture &amp; Component Stack</w:t>
      </w:r>
    </w:p>
    <w:p>
      <w:r>
        <w:t>The application leverages the latest industry-standard technology stack:</w:t>
      </w:r>
    </w:p>
    <w:tbl>
      <w:tblPr>
        <w:tblW w:type="auto" w:w="0"/>
        <w:jc w:val="center"/>
        <w:tblLook w:firstColumn="1" w:firstRow="1" w:lastColumn="0" w:lastRow="0" w:noHBand="0" w:noVBand="1" w:val="04A0"/>
      </w:tblPr>
      <w:tblGrid>
        <w:gridCol w:w="4320"/>
        <w:gridCol w:w="4320"/>
      </w:tblGrid>
      <w:tr>
        <w:tc>
          <w:tcPr>
            <w:tcW w:type="dxa" w:w="4320"/>
          </w:tcPr>
          <w:p>
            <w:r>
              <w:rPr>
                <w:b/>
              </w:rPr>
              <w:t>Language &amp; Framework</w:t>
            </w:r>
          </w:p>
        </w:tc>
        <w:tc>
          <w:tcPr>
            <w:tcW w:type="dxa" w:w="4320"/>
          </w:tcPr>
          <w:p>
            <w:r>
              <w:t>Java 21 OpenJDK, Spring Boot 3.3.0, Spring Security 6</w:t>
            </w:r>
          </w:p>
        </w:tc>
      </w:tr>
      <w:tr>
        <w:tc>
          <w:tcPr>
            <w:tcW w:type="dxa" w:w="4320"/>
          </w:tcPr>
          <w:p>
            <w:r>
              <w:rPr>
                <w:b/>
              </w:rPr>
              <w:t>Database Engine</w:t>
            </w:r>
          </w:p>
        </w:tc>
        <w:tc>
          <w:tcPr>
            <w:tcW w:type="dxa" w:w="4320"/>
          </w:tcPr>
          <w:p>
            <w:r>
              <w:t>IBM DB2 (Default), PostgreSQL, Oracle 19c/21c, MS SQL Server 2022, H2</w:t>
            </w:r>
          </w:p>
        </w:tc>
      </w:tr>
      <w:tr>
        <w:tc>
          <w:tcPr>
            <w:tcW w:type="dxa" w:w="4320"/>
          </w:tcPr>
          <w:p>
            <w:r>
              <w:rPr>
                <w:b/>
              </w:rPr>
              <w:t>Frontend &amp; Real-Time</w:t>
            </w:r>
          </w:p>
        </w:tc>
        <w:tc>
          <w:tcPr>
            <w:tcW w:type="dxa" w:w="4320"/>
          </w:tcPr>
          <w:p>
            <w:r>
              <w:t>Thymeleaf, Bootstrap 5.3, WebSockets over STOMP, SockJS</w:t>
            </w:r>
          </w:p>
        </w:tc>
      </w:tr>
      <w:tr>
        <w:tc>
          <w:tcPr>
            <w:tcW w:type="dxa" w:w="4320"/>
          </w:tcPr>
          <w:p>
            <w:r>
              <w:rPr>
                <w:b/>
              </w:rPr>
              <w:t>File Parser Engine</w:t>
            </w:r>
          </w:p>
        </w:tc>
        <w:tc>
          <w:tcPr>
            <w:tcW w:type="dxa" w:w="4320"/>
          </w:tcPr>
          <w:p>
            <w:r>
              <w:t>Apache POI 5.2.5 (Excel .xlsx/.xls), OpenCSV 5.9</w:t>
            </w:r>
          </w:p>
        </w:tc>
      </w:tr>
      <w:tr>
        <w:tc>
          <w:tcPr>
            <w:tcW w:type="dxa" w:w="4320"/>
          </w:tcPr>
          <w:p>
            <w:r>
              <w:rPr>
                <w:b/>
              </w:rPr>
              <w:t>API Documentation</w:t>
            </w:r>
          </w:p>
        </w:tc>
        <w:tc>
          <w:tcPr>
            <w:tcW w:type="dxa" w:w="4320"/>
          </w:tcPr>
          <w:p>
            <w:r>
              <w:t>Springdoc OpenAPI / Swagger UI 2.5.0</w:t>
            </w:r>
          </w:p>
        </w:tc>
      </w:tr>
      <w:tr>
        <w:tc>
          <w:tcPr>
            <w:tcW w:type="dxa" w:w="4320"/>
          </w:tcPr>
          <w:p>
            <w:r>
              <w:rPr>
                <w:b/>
              </w:rPr>
              <w:t>Container &amp; K8s</w:t>
            </w:r>
          </w:p>
        </w:tc>
        <w:tc>
          <w:tcPr>
            <w:tcW w:type="dxa" w:w="4320"/>
          </w:tcPr>
          <w:p>
            <w:r>
              <w:t>Docker Multi-stage Build, Docker Compose, Kubernetes Manifests</w:t>
            </w:r>
          </w:p>
        </w:tc>
      </w:tr>
      <w:tr>
        <w:tc>
          <w:tcPr>
            <w:tcW w:type="dxa" w:w="4320"/>
          </w:tcPr>
          <w:p>
            <w:r>
              <w:rPr>
                <w:b/>
              </w:rPr>
              <w:t>Deployment Package</w:t>
            </w:r>
          </w:p>
        </w:tc>
        <w:tc>
          <w:tcPr>
            <w:tcW w:type="dxa" w:w="4320"/>
          </w:tcPr>
          <w:p>
            <w:r>
              <w:t>Executable JAR, start.bat / start.sh, stop.bat / stop.sh, build.bat / build.sh</w:t>
            </w:r>
          </w:p>
        </w:tc>
      </w:tr>
    </w:tbl>
    <w:p>
      <w:pPr>
        <w:pStyle w:val="Heading1"/>
      </w:pPr>
      <w:r>
        <w:t>3. Data Comparison Engine Logic</w:t>
      </w:r>
    </w:p>
    <w:p>
      <w:r>
        <w:t>The comparison engine takes two CSV or Excel files, reads their column metadata, and allows the user to select composite key columns and attribute comparison columns. The engine computes matched rows, attribute mismatched rows, and unmatched rows present only in File A or File B.</w:t>
      </w:r>
    </w:p>
    <w:p>
      <w:pPr>
        <w:pStyle w:val="Heading1"/>
      </w:pPr>
      <w:r>
        <w:t>4. Security, LDAP &amp; Account Lifecycle Specification</w:t>
      </w:r>
    </w:p>
    <w:p>
      <w:r>
        <w:t>Default Administrator: Username 'admin', Default Password 'Qwerty123$'. Password policy enforces min 8 characters with uppercase, lowercase, numbers, and special characters. Password expiration is set to 90 days. Accounts can be locked/unlocked and passwords reset via the User Management portal. Authentication switches dynamically between DB BCrypt and Windows Active Directory LDAP.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