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Calibri" w:hAnsi="Calibri" w:cs="Calibri" w:eastAsia="Calibri"/>
        </w:rPr>
        <w:t>Functional Specification Document (FSD)</w:t>
      </w:r>
    </w:p>
    <w:p>
      <w:r>
        <w:rPr>
          <w:b w:val="on"/>
          <w:sz w:val="28"/>
        </w:rPr>
        <w:t>System Name: Software Development Document Environment (SDM)</w:t>
      </w:r>
    </w:p>
    <w:p>
      <w:r>
        <w:rPr>
          <w:sz w:val="22"/>
        </w:rPr>
        <w:t xml:space="preserve">1. INTRODUCTION
This functional specification provides details for the SDM system, offering directory polling automation, configurable document status displays, robust maker-checker approvals, and multi-DB support.
2. KEY COMPONENT FLOWS
- Auto Polling: Scans '/input-documents' folder, parses filename metadata, and parses structures.
- Security: Configurable DB or LDAP AD strategies.
- Workflow: Maker submits, checker reviews, accepts, or rejects.
- Reports: Generates offline and downloadable summary PDF and Excel status tracking templates.
3. JUNIT TESTING CASE METRICS
- SdmUserAuthTest: Validates logins, AD mock switches, and locking mechanics.
- ParserServiceTest: Evaluates Excel/Word/PPTX/XML structure mapping correctness.
- WorkflowEngineTest: Verifies Maker-Checker validation rules and status updates.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2026-08-08T23:15:42Z</dcterms:created>
  <dc:creator>Apache POI</dc:creator>
</cp:coreProperties>
</file>