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 ============================= COVER ============================= -->
    <w:tbl>
      <w:tblPr>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00" w:type="dxa"/>
          <w:left w:w="900" w:type="dxa"/>
          <w:bottom w:w="700" w:type="dxa"/>
          <w:right w:w="900" w:type="dxa"/>
        </w:tblCellMar>
      </w:tblPr>
      <w:tblGrid>
        <w:gridCol w:w="9360"/>
      </w:tblGrid>
      <w:tr>
        <w:trPr>
          <w:trHeight w:val="12200" w:hRule="atLeast"/>
        </w:trPr>
        <w:tc>
          <w:tcPr>
            <w:tcW w:w="9360" w:type="dxa"/>
            <w:shd w:val="clear" w:color="auto" w:fill="121212"/>
            <w:vAlign w:val="center"/>
          </w:tcPr>
          <w:p>
            <w:pPr>
              <w:spacing w:after="0"/>
              <w:jc w:val="center"/>
            </w:pPr>
            <w:r>
              <w:rPr>
                <w:b/>
                <w:color w:val="FFD65C"/>
                <w:spacing w:val="60"/>
                <w:sz w:val="22"/>
                <w:szCs w:val="22"/>
              </w:rPr>
              <w:t>TARU HR · HUMAN RESOURCES</w:t>
            </w:r>
          </w:p>
          <w:p>
            <w:pPr>
              <w:spacing w:before="900" w:after="0"/>
              <w:jc w:val="center"/>
            </w:pPr>
            <w:r>
              <w:rPr>
                <w:b/>
                <w:color w:val="FFD65C"/>
                <w:sz w:val="88"/>
                <w:szCs w:val="88"/>
              </w:rPr>
              <w:t>Employee Handbook</w:t>
            </w:r>
          </w:p>
          <w:p>
            <w:pPr>
              <w:spacing w:before="160" w:after="0"/>
              <w:jc w:val="center"/>
            </w:pPr>
            <w:r>
              <w:rPr>
                <w:color w:val="EAD8A6"/>
                <w:sz w:val="28"/>
                <w:szCs w:val="28"/>
              </w:rPr>
              <w:t>All things HR — our people, policies and ways of working</w:t>
            </w:r>
          </w:p>
          <w:p>
            <w:pPr>
              <w:pBdr>
                <w:bottom w:val="single" w:sz="12" w:space="4" w:color="E5AF52"/>
              </w:pBdr>
              <w:spacing w:before="220" w:after="220"/>
              <w:ind w:left="2700" w:right="2700"/>
              <w:jc w:val="center"/>
            </w:pPr>
          </w:p>
          <w:p>
            <w:pPr>
              <w:spacing w:before="800" w:after="0"/>
              <w:jc w:val="center"/>
            </w:pPr>
            <w:r>
              <w:rPr>
                <w:color w:val="C4A94E"/>
                <w:sz w:val="20"/>
                <w:szCs w:val="20"/>
              </w:rPr>
              <w:t>[Company name] · Prepared by [Your name], HR · Version 1.0</w:t>
            </w:r>
          </w:p>
          <w:p>
            <w:pPr>
              <w:spacing w:before="60" w:after="0"/>
              <w:jc w:val="center"/>
            </w:pPr>
            <w:r>
              <w:rPr>
                <w:color w:val="C4A94E"/>
                <w:sz w:val="20"/>
                <w:szCs w:val="20"/>
              </w:rPr>
              <w:t>Confidential — for internal use only</w:t>
            </w:r>
          </w:p>
        </w:tc>
      </w:tr>
    </w:tbl>
    <!-- ============================= CONTENTS ============================= -->
    <w:p>
      <w:pPr>
        <w:pStyle w:val="ContentsTitle"/>
        <w:pageBreakBefore/>
      </w:pPr>
      <w:r>
        <w:t>Contents</w:t>
      </w:r>
    </w:p>
    <w:p>
      <w:pPr>
        <w:pStyle w:val="Guidance"/>
      </w:pPr>
      <w:r>
        <w:t>This list updates automatically from the headings. To refresh it, click the list and press F9 (or References › Update Table › Update entire table).</w:t>
      </w:r>
    </w:p>
    <w:p>
      <w:r>
        <w:fldChar w:fldCharType="begin"/>
      </w:r>
      <w:r>
        <w:instrText xml:space="preserve"> TOC \o "1-3" \h \z \u </w:instrText>
      </w:r>
      <w:r>
        <w:fldChar w:fldCharType="separate"/>
      </w:r>
      <w:r>
        <w:rPr>
          <w:i/>
          <w:color w:val="6E6E6E"/>
        </w:rPr>
        <w:t>Right-click here and choose “Update Field” to build the table of contents.</w:t>
      </w:r>
      <w:r>
        <w:fldChar w:fldCharType="end"/>
      </w:r>
    </w:p>
    <!-- ============================= HOW TO USE ============================= -->
    <w:p>
      <w:pPr>
        <w:pageBreakBefore/>
        <w:pBdr>
          <w:bottom w:val="single" w:sz="18" w:space="6" w:color="E5AF52"/>
        </w:pBdr>
        <w:spacing w:after="200"/>
      </w:pPr>
      <w:r>
        <w:rPr>
          <w:b/>
          <w:color w:val="1A1A1A"/>
          <w:sz w:val="36"/>
          <w:szCs w:val="36"/>
        </w:rPr>
        <w:t>How to use this template</w:t>
      </w:r>
    </w:p>
    <w:p>
      <w:pPr>
        <w:pStyle w:val="Guidance"/>
      </w:pPr>
      <w:r>
        <w:t>Text in [square brackets] and grey italics is guidance for you — replace or delete it as you write your own content. The gold headings below define the structure; keep, remove or reorder sections to fit your organisation.</w:t>
      </w:r>
    </w:p>
    <w:p>
      <w:pPr>
        <w:pStyle w:val="ListParagraph"/>
        <w:numPr>
          <w:ilvl w:val="0"/>
          <w:numId w:val="1"/>
        </w:numPr>
      </w:pPr>
      <w:r>
        <w:t>Replace the cover placeholders (company name, your name) and this “How to use” page before sharing.</w:t>
      </w:r>
    </w:p>
    <w:p>
      <w:pPr>
        <w:pStyle w:val="ListParagraph"/>
        <w:numPr>
          <w:ilvl w:val="0"/>
          <w:numId w:val="1"/>
        </w:numPr>
      </w:pPr>
      <w:r>
        <w:t>Write under each heading, then update the Contents list (F9) so page numbers are correct.</w:t>
      </w:r>
    </w:p>
    <w:p>
      <w:pPr>
        <w:pStyle w:val="ListParagraph"/>
        <w:numPr>
          <w:ilvl w:val="0"/>
          <w:numId w:val="1"/>
        </w:numPr>
      </w:pPr>
      <w:r>
        <w:t>Have the final handbook reviewed against Finnish employment law, the applicable collective agreement (TES) and, where needed, a legal advisor. This template is a starting point, not legal advice.</w:t>
      </w:r>
    </w:p>
    <w:p>
      <w:pPr>
        <w:pStyle w:val="Guidance"/>
      </w:pPr>
      <w:r>
        <w:t>Tip: for the exact website look, install the free Poppins font (Google Fonts) before editing — Word will otherwise substitute a similar font.</w:t>
      </w:r>
    </w:p>
    <!-- ===== 1. WELCOME ===== -->
    <w:p>
      <w:pPr>
        <w:pStyle w:val="Heading1"/>
      </w:pPr>
      <w:r>
        <w:t>1. Welcome</w:t>
      </w:r>
    </w:p>
    <w:p>
      <w:pPr>
        <w:pStyle w:val="Guidance"/>
      </w:pPr>
      <w:r>
        <w:t>[Open with a short, warm welcome. Explain the company’s purpose and what this handbook is for.]</w:t>
      </w:r>
    </w:p>
    <w:p>
      <w:pPr>
        <w:pStyle w:val="Heading2"/>
      </w:pPr>
      <w:r>
        <w:t>A message from HR</w:t>
      </w:r>
    </w:p>
    <w:p>
      <w:pPr>
        <w:pStyle w:val="Guidance"/>
      </w:pPr>
      <w:r>
        <w:t>[Add a personal welcome note from HR or leadership, and a signature.]</w:t>
      </w:r>
    </w:p>
    <w:p>
      <w:pPr>
        <w:pStyle w:val="Heading2"/>
      </w:pPr>
      <w:r>
        <w:t>How to use this handbook</w:t>
      </w:r>
    </w:p>
    <w:p>
      <w:r>
        <w:t>This handbook explains our policies, benefits and ways of working. Read it alongside your employment contract and the applicable collective agreement (TES). Where they differ, your contract and the law take precedence.</w:t>
      </w:r>
    </w:p>
    <w:p>
      <w:pPr>
        <w:pStyle w:val="Heading2"/>
      </w:pPr>
      <w:r>
        <w:t>Our mission &amp; values</w:t>
      </w:r>
    </w:p>
    <w:p>
      <w:pPr>
        <w:pStyle w:val="Guidance"/>
      </w:pPr>
      <w:r>
        <w:t>[State your mission and vision, then list 3–5 core values with a sentence each.]</w:t>
      </w:r>
    </w:p>
    <w:p>
      <w:pPr>
        <w:pStyle w:val="Heading2"/>
      </w:pPr>
      <w:r>
        <w:t>An important note</w:t>
      </w:r>
    </w:p>
    <w:p>
      <w:pPr>
        <w:pStyle w:val="Guidance"/>
      </w:pPr>
      <w:r>
        <w:t>This handbook is a set of guidelines, not an employment contract, and may be updated from time to time. Nothing in it overrides Finnish employment law, the applicable TES, or your individual contract.</w:t>
      </w:r>
    </w:p>
    <!-- ===== 2. ABOUT OUR COMPANY ===== -->
    <w:p>
      <w:pPr>
        <w:pStyle w:val="Heading1"/>
      </w:pPr>
      <w:r>
        <w:t>2. About our company</w:t>
      </w:r>
    </w:p>
    <w:p>
      <w:pPr>
        <w:pStyle w:val="Heading2"/>
      </w:pPr>
      <w:r>
        <w:t>Who we are</w:t>
      </w:r>
    </w:p>
    <w:p>
      <w:pPr>
        <w:pStyle w:val="Guidance"/>
      </w:pPr>
      <w:r>
        <w:t>[A short history, what we do, and who we serve.]</w:t>
      </w:r>
    </w:p>
    <w:p>
      <w:pPr>
        <w:pStyle w:val="Heading2"/>
      </w:pPr>
      <w:r>
        <w:t>Our culture</w:t>
      </w:r>
    </w:p>
    <w:p>
      <w:pPr>
        <w:pStyle w:val="Guidance"/>
      </w:pPr>
      <w:r>
        <w:t>[Describe how it feels to work here and the behaviours you value.]</w:t>
      </w:r>
    </w:p>
    <w:p>
      <w:pPr>
        <w:pStyle w:val="Heading2"/>
      </w:pPr>
      <w:r>
        <w:t>Organisation &amp; key people</w:t>
      </w:r>
    </w:p>
    <w:p>
      <w:pPr>
        <w:pStyle w:val="ListParagraph"/>
        <w:numPr>
          <w:ilvl w:val="0"/>
          <w:numId w:val="1"/>
        </w:numPr>
      </w:pPr>
      <w:r>
        <w:t>Leadership — [names and roles]</w:t>
      </w:r>
    </w:p>
    <w:p>
      <w:pPr>
        <w:pStyle w:val="ListParagraph"/>
        <w:numPr>
          <w:ilvl w:val="0"/>
          <w:numId w:val="1"/>
        </w:numPr>
      </w:pPr>
      <w:r>
        <w:t>Your manager — [who to go to day to day]</w:t>
      </w:r>
    </w:p>
    <w:p>
      <w:pPr>
        <w:pStyle w:val="ListParagraph"/>
        <w:numPr>
          <w:ilvl w:val="0"/>
          <w:numId w:val="1"/>
        </w:numPr>
      </w:pPr>
      <w:r>
        <w:t>HR team — [contact for people matters]</w:t>
      </w:r>
    </w:p>
    <w:p>
      <w:pPr>
        <w:pStyle w:val="ListParagraph"/>
        <w:numPr>
          <w:ilvl w:val="0"/>
          <w:numId w:val="1"/>
        </w:numPr>
      </w:pPr>
      <w:r>
        <w:t>IT support — [accounts and equipment]</w:t>
      </w:r>
    </w:p>
    <!-- ===== 3. EMPLOYMENT ESSENTIALS ===== -->
    <w:p>
      <w:pPr>
        <w:pStyle w:val="Heading1"/>
      </w:pPr>
      <w:r>
        <w:t>3. Employment essentials</w:t>
      </w:r>
    </w:p>
    <w:p>
      <w:pPr>
        <w:pStyle w:val="Heading2"/>
      </w:pPr>
      <w:r>
        <w:t>Equal opportunity &amp; inclusion</w:t>
      </w:r>
    </w:p>
    <w:p>
      <w:r>
        <w:t>We are an equal-opportunity employer. We do not discriminate on the basis of age, gender, ethnicity, religion, disability, sexual orientation, family status or any other protected characteristic, in line with the Non-Discrimination Act and the Act on Equality between Women and Men.</w:t>
      </w:r>
    </w:p>
    <w:p>
      <w:pPr>
        <w:pStyle w:val="Heading2"/>
      </w:pPr>
      <w:r>
        <w:t>Types of employment</w:t>
      </w:r>
    </w:p>
    <w:p>
      <w:pPr>
        <w:pStyle w:val="ListParagraph"/>
        <w:numPr>
          <w:ilvl w:val="0"/>
          <w:numId w:val="1"/>
        </w:numPr>
      </w:pPr>
      <w:r>
        <w:t>Permanent, full-time</w:t>
      </w:r>
    </w:p>
    <w:p>
      <w:pPr>
        <w:pStyle w:val="ListParagraph"/>
        <w:numPr>
          <w:ilvl w:val="0"/>
          <w:numId w:val="1"/>
        </w:numPr>
      </w:pPr>
      <w:r>
        <w:t>Part-time</w:t>
      </w:r>
    </w:p>
    <w:p>
      <w:pPr>
        <w:pStyle w:val="ListParagraph"/>
        <w:numPr>
          <w:ilvl w:val="0"/>
          <w:numId w:val="1"/>
        </w:numPr>
      </w:pPr>
      <w:r>
        <w:t>Fixed-term (with a stated reason, as required by law)</w:t>
      </w:r>
    </w:p>
    <w:p>
      <w:pPr>
        <w:pStyle w:val="ListParagraph"/>
        <w:numPr>
          <w:ilvl w:val="0"/>
          <w:numId w:val="1"/>
        </w:numPr>
      </w:pPr>
      <w:r>
        <w:t>Trainee / apprentice</w:t>
      </w:r>
    </w:p>
    <w:p>
      <w:pPr>
        <w:pStyle w:val="Heading2"/>
      </w:pPr>
      <w:r>
        <w:t>Recruitment &amp; offers</w:t>
      </w:r>
    </w:p>
    <w:p>
      <w:pPr>
        <w:pStyle w:val="Guidance"/>
      </w:pPr>
      <w:r>
        <w:t>[Outline how roles are advertised, how candidates are selected, and what an offer includes.]</w:t>
      </w:r>
    </w:p>
    <w:p>
      <w:pPr>
        <w:pStyle w:val="Heading2"/>
      </w:pPr>
      <w:r>
        <w:t>Probationary period</w:t>
      </w:r>
    </w:p>
    <w:p>
      <w:r>
        <w:t>A probationary period (koeaika) of up to six months may apply where agreed in your contract and permitted by law. During it, either party may end the employment with immediate effect on non-discriminatory grounds.</w:t>
      </w:r>
    </w:p>
    <w:p>
      <w:pPr>
        <w:pStyle w:val="Heading2"/>
      </w:pPr>
      <w:r>
        <w:t>Right to work</w:t>
      </w:r>
    </w:p>
    <w:p>
      <w:pPr>
        <w:pStyle w:val="Guidance"/>
      </w:pPr>
      <w:r>
        <w:t>[For international hires, note residence-permit and right-to-work requirements. See also your relocation / expat guidance.]</w:t>
      </w:r>
    </w:p>
    <!-- ===== 4. ONBOARDING ===== -->
    <w:p>
      <w:pPr>
        <w:pStyle w:val="Heading1"/>
      </w:pPr>
      <w:r>
        <w:t>4. Onboarding</w:t>
      </w:r>
    </w:p>
    <w:p>
      <w:pPr>
        <w:pStyle w:val="Heading2"/>
      </w:pPr>
      <w:r>
        <w:t>Before your first day</w:t>
      </w:r>
    </w:p>
    <w:p>
      <w:pPr>
        <w:pStyle w:val="Guidance"/>
      </w:pPr>
      <w:r>
        <w:t>[Paperwork, equipment, accounts and a pre-boarding checklist sent ahead of the start date.]</w:t>
      </w:r>
    </w:p>
    <w:p>
      <w:pPr>
        <w:pStyle w:val="Heading2"/>
      </w:pPr>
      <w:r>
        <w:t>Your first weeks</w:t>
      </w:r>
    </w:p>
    <w:p>
      <w:pPr>
        <w:pStyle w:val="Guidance"/>
      </w:pPr>
      <w:r>
        <w:t>[Introductions, systems access, early goals and expectations.]</w:t>
      </w:r>
    </w:p>
    <w:p>
      <w:pPr>
        <w:pStyle w:val="Heading2"/>
      </w:pPr>
      <w:r>
        <w:t>Buddy programme</w:t>
      </w:r>
    </w:p>
    <w:p>
      <w:pPr>
        <w:pStyle w:val="Guidance"/>
      </w:pPr>
      <w:r>
        <w:t>[How new joiners are paired with a buddy for support and cultural integration.]</w:t>
      </w:r>
    </w:p>
    <w:p>
      <w:pPr>
        <w:pStyle w:val="Heading2"/>
      </w:pPr>
      <w:r>
        <w:t>30 / 60 / 90-day check-ins</w:t>
      </w:r>
    </w:p>
    <w:p>
      <w:pPr>
        <w:pStyle w:val="Guidance"/>
      </w:pPr>
      <w:r>
        <w:t>[Structured check-ins to confirm the role is on track.]</w:t>
      </w:r>
    </w:p>
    <!-- ===== 5. CODE OF CONDUCT ===== -->
    <w:p>
      <w:pPr>
        <w:pStyle w:val="Heading1"/>
      </w:pPr>
      <w:r>
        <w:t>5. Code of conduct</w:t>
      </w:r>
    </w:p>
    <w:p>
      <w:pPr>
        <w:pStyle w:val="Heading2"/>
      </w:pPr>
      <w:r>
        <w:t>Our expectations</w:t>
      </w:r>
    </w:p>
    <w:p>
      <w:r>
        <w:t>We treat each other, our customers and our partners with respect, honesty and professionalism. Everyone is responsible for upholding this code.</w:t>
      </w:r>
    </w:p>
    <w:p>
      <w:pPr>
        <w:pStyle w:val="Heading2"/>
      </w:pPr>
      <w:r>
        <w:t>Professional behaviour</w:t>
      </w:r>
    </w:p>
    <w:p>
      <w:pPr>
        <w:pStyle w:val="Guidance"/>
      </w:pPr>
      <w:r>
        <w:t>[Punctuality, communication, respect for colleagues and company time.]</w:t>
      </w:r>
    </w:p>
    <w:p>
      <w:pPr>
        <w:pStyle w:val="Heading2"/>
      </w:pPr>
      <w:r>
        <w:t>Dress code</w:t>
      </w:r>
    </w:p>
    <w:p>
      <w:pPr>
        <w:pStyle w:val="Guidance"/>
      </w:pPr>
      <w:r>
        <w:t>[Describe expectations for the office, remote work and client meetings.]</w:t>
      </w:r>
    </w:p>
    <w:p>
      <w:pPr>
        <w:pStyle w:val="Heading2"/>
      </w:pPr>
      <w:r>
        <w:t>Conflicts of interest</w:t>
      </w:r>
    </w:p>
    <w:p>
      <w:pPr>
        <w:pStyle w:val="Guidance"/>
      </w:pPr>
      <w:r>
        <w:t>[When and how to declare a personal or financial conflict.]</w:t>
      </w:r>
    </w:p>
    <w:p>
      <w:pPr>
        <w:pStyle w:val="Heading2"/>
      </w:pPr>
      <w:r>
        <w:t>Gifts &amp; anti-bribery</w:t>
      </w:r>
    </w:p>
    <w:p>
      <w:pPr>
        <w:pStyle w:val="Guidance"/>
      </w:pPr>
      <w:r>
        <w:t>[Rules on accepting or offering gifts and hospitality.]</w:t>
      </w:r>
    </w:p>
    <w:p>
      <w:pPr>
        <w:pStyle w:val="Heading2"/>
      </w:pPr>
      <w:r>
        <w:t>Confidentiality &amp; data protection</w:t>
      </w:r>
    </w:p>
    <w:p>
      <w:r>
        <w:t>Handle personal and company data responsibly and only for legitimate work purposes, in line with the EU General Data Protection Regulation (GDPR) and the Data Protection Act. Confidentiality obligations continue after employment ends.</w:t>
      </w:r>
    </w:p>
    <w:p>
      <w:pPr>
        <w:pStyle w:val="Heading2"/>
      </w:pPr>
      <w:r>
        <w:t>IT &amp; acceptable use</w:t>
      </w:r>
    </w:p>
    <w:p>
      <w:pPr>
        <w:pStyle w:val="Guidance"/>
      </w:pPr>
      <w:r>
        <w:t>[Acceptable use of devices, email, software and internet access.]</w:t>
      </w:r>
    </w:p>
    <w:p>
      <w:pPr>
        <w:pStyle w:val="Heading2"/>
      </w:pPr>
      <w:r>
        <w:t>Social media</w:t>
      </w:r>
    </w:p>
    <w:p>
      <w:pPr>
        <w:pStyle w:val="Guidance"/>
      </w:pPr>
      <w:r>
        <w:t>[Guidance on representing the company online and protecting confidential information.]</w:t>
      </w:r>
    </w:p>
    <!-- ===== 6. COMPENSATION & PAYROLL ===== -->
    <w:p>
      <w:pPr>
        <w:pStyle w:val="Heading1"/>
      </w:pPr>
      <w:r>
        <w:t>6. Compensation &amp; payroll</w:t>
      </w:r>
    </w:p>
    <w:p>
      <w:pPr>
        <w:pStyle w:val="Heading2"/>
      </w:pPr>
      <w:r>
        <w:t>How &amp; when you are paid</w:t>
      </w:r>
    </w:p>
    <w:p>
      <w:r>
        <w:t>Salaries are paid monthly by bank transfer on the agreed pay day. Your pay and any allowances are set out in your employment contract and follow the applicable TES minimums.</w:t>
      </w:r>
    </w:p>
    <w:p>
      <w:pPr>
        <w:pStyle w:val="Heading2"/>
      </w:pPr>
      <w:r>
        <w:t>Payslips &amp; tax cards</w:t>
      </w:r>
    </w:p>
    <w:p>
      <w:r>
        <w:t>You will receive a payslip each pay period. Provide your tax card (verokortti) promptly so the correct tax is withheld; without it, tax is withheld at the higher default rate.</w:t>
      </w:r>
    </w:p>
    <w:p>
      <w:pPr>
        <w:pStyle w:val="Heading2"/>
      </w:pPr>
      <w:r>
        <w:t>Salary reviews</w:t>
      </w:r>
    </w:p>
    <w:p>
      <w:pPr>
        <w:pStyle w:val="Guidance"/>
      </w:pPr>
      <w:r>
        <w:t>[How often pay is reviewed and what it is based on.]</w:t>
      </w:r>
    </w:p>
    <w:p>
      <w:pPr>
        <w:pStyle w:val="Heading2"/>
      </w:pPr>
      <w:r>
        <w:t>Overtime</w:t>
      </w:r>
    </w:p>
    <w:p>
      <w:pPr>
        <w:pStyle w:val="Guidance"/>
      </w:pPr>
      <w:r>
        <w:t>[How overtime is agreed, recorded and compensated, in line with the Working Hours Act and TES.]</w:t>
      </w:r>
    </w:p>
    <w:p>
      <w:pPr>
        <w:pStyle w:val="Heading2"/>
      </w:pPr>
      <w:r>
        <w:t>Expenses &amp; reimbursement</w:t>
      </w:r>
    </w:p>
    <w:p>
      <w:pPr>
        <w:pStyle w:val="Guidance"/>
      </w:pPr>
      <w:r>
        <w:t>[How to claim work expenses and travel, and the approval process.]</w:t>
      </w:r>
    </w:p>
    <!-- ===== 7. WORKING HOURS & FLEXIBILITY ===== -->
    <w:p>
      <w:pPr>
        <w:pStyle w:val="Heading1"/>
      </w:pPr>
      <w:r>
        <w:t>7. Working hours &amp; flexibility</w:t>
      </w:r>
    </w:p>
    <w:p>
      <w:pPr>
        <w:pStyle w:val="Heading2"/>
      </w:pPr>
      <w:r>
        <w:t>Standard hours</w:t>
      </w:r>
    </w:p>
    <w:p>
      <w:r>
        <w:t>Standard full-time hours are typically 7.5–8 hours per day, as set by your contract and the applicable TES.</w:t>
      </w:r>
    </w:p>
    <w:p>
      <w:pPr>
        <w:pStyle w:val="Heading2"/>
      </w:pPr>
      <w:r>
        <w:t>Flexible &amp; remote work</w:t>
      </w:r>
    </w:p>
    <w:p>
      <w:pPr>
        <w:pStyle w:val="Guidance"/>
      </w:pPr>
      <w:r>
        <w:t>[Flexible start/finish times, hybrid or remote arrangements, and any core hours.]</w:t>
      </w:r>
    </w:p>
    <w:p>
      <w:pPr>
        <w:pStyle w:val="Heading2"/>
      </w:pPr>
      <w:r>
        <w:t>Breaks &amp; rest</w:t>
      </w:r>
    </w:p>
    <w:p>
      <w:r>
        <w:t>You are entitled to daily breaks and statutory daily and weekly rest periods under the Working Hours Act.</w:t>
      </w:r>
    </w:p>
    <w:p>
      <w:pPr>
        <w:pStyle w:val="Heading2"/>
      </w:pPr>
      <w:r>
        <w:t>Recording time</w:t>
      </w:r>
    </w:p>
    <w:p>
      <w:pPr>
        <w:pStyle w:val="Guidance"/>
      </w:pPr>
      <w:r>
        <w:t>[How working time is recorded and where.]</w:t>
      </w:r>
    </w:p>
    <w:p>
      <w:pPr>
        <w:pStyle w:val="Heading2"/>
      </w:pPr>
      <w:r>
        <w:t>Reporting absence</w:t>
      </w:r>
    </w:p>
    <w:p>
      <w:r>
        <w:t>Tell your manager as early as possible if you cannot work, and follow the sickness-reporting steps below.</w:t>
      </w:r>
    </w:p>
    <!-- ===== 8. LEAVE & TIME OFF ===== -->
    <w:p>
      <w:pPr>
        <w:pStyle w:val="Heading1"/>
      </w:pPr>
      <w:r>
        <w:t>8. Leave &amp; time off</w:t>
      </w:r>
    </w:p>
    <w:p>
      <w:pPr>
        <w:pStyle w:val="Heading2"/>
      </w:pPr>
      <w:r>
        <w:t>Annual leave</w:t>
      </w:r>
    </w:p>
    <w:p>
      <w:r>
        <w:t>Annual leave accrues under the Annual Holidays Act — generally 2 or 2.5 days per full holiday-accrual month. [Add how leave is requested and approved.]</w:t>
      </w:r>
    </w:p>
    <w:p>
      <w:pPr>
        <w:pStyle w:val="Heading2"/>
      </w:pPr>
      <w:r>
        <w:t>Public holidays</w:t>
      </w:r>
    </w:p>
    <w:p>
      <w:pPr>
        <w:pStyle w:val="Guidance"/>
      </w:pPr>
      <w:r>
        <w:t>[List recognised public holidays.]</w:t>
      </w:r>
    </w:p>
    <w:p>
      <w:pPr>
        <w:pStyle w:val="Heading2"/>
      </w:pPr>
      <w:r>
        <w:t>Sick leave</w:t>
      </w:r>
    </w:p>
    <w:p>
      <w:r>
        <w:t>Report sickness to your manager on the first day. [State when a medical certificate is required and how sick pay works.]</w:t>
      </w:r>
    </w:p>
    <w:p>
      <w:pPr>
        <w:pStyle w:val="Heading2"/>
      </w:pPr>
      <w:r>
        <w:t>Family &amp; parental leave</w:t>
      </w:r>
    </w:p>
    <w:p>
      <w:r>
        <w:t>Pregnancy, parental and other family leave follow the Employment Contracts Act and Kela rules. [Add your practices and any top-up pay.]</w:t>
      </w:r>
    </w:p>
    <w:p>
      <w:pPr>
        <w:pStyle w:val="Heading2"/>
      </w:pPr>
      <w:r>
        <w:t>Other leave</w:t>
      </w:r>
    </w:p>
    <w:p>
      <w:pPr>
        <w:pStyle w:val="ListParagraph"/>
        <w:numPr>
          <w:ilvl w:val="0"/>
          <w:numId w:val="1"/>
        </w:numPr>
      </w:pPr>
      <w:r>
        <w:t>Study leave</w:t>
      </w:r>
    </w:p>
    <w:p>
      <w:pPr>
        <w:pStyle w:val="ListParagraph"/>
        <w:numPr>
          <w:ilvl w:val="0"/>
          <w:numId w:val="1"/>
        </w:numPr>
      </w:pPr>
      <w:r>
        <w:t>Unpaid leave</w:t>
      </w:r>
    </w:p>
    <w:p>
      <w:pPr>
        <w:pStyle w:val="ListParagraph"/>
        <w:numPr>
          <w:ilvl w:val="0"/>
          <w:numId w:val="1"/>
        </w:numPr>
      </w:pPr>
      <w:r>
        <w:t>Compassionate / bereavement leave</w:t>
      </w:r>
    </w:p>
    <!-- ===== 9. BENEFITS & WELLBEING ===== -->
    <w:p>
      <w:pPr>
        <w:pStyle w:val="Heading1"/>
      </w:pPr>
      <w:r>
        <w:t>9. Benefits &amp; wellbeing</w:t>
      </w:r>
    </w:p>
    <w:p>
      <w:pPr>
        <w:pStyle w:val="Heading2"/>
      </w:pPr>
      <w:r>
        <w:t>Occupational healthcare</w:t>
      </w:r>
    </w:p>
    <w:p>
      <w:r>
        <w:t>We provide statutory occupational healthcare (työterveyshuolto). [Name your provider and what is covered.]</w:t>
      </w:r>
    </w:p>
    <w:p>
      <w:pPr>
        <w:pStyle w:val="Heading2"/>
      </w:pPr>
      <w:r>
        <w:t>Pension &amp; insurance</w:t>
      </w:r>
    </w:p>
    <w:p>
      <w:r>
        <w:t>Statutory earnings-related pension (TyEL) and insurance contributions are arranged for you. [Add any supplementary cover.]</w:t>
      </w:r>
    </w:p>
    <w:p>
      <w:pPr>
        <w:pStyle w:val="Heading2"/>
      </w:pPr>
      <w:r>
        <w:t>Wellbeing &amp; mental health</w:t>
      </w:r>
    </w:p>
    <w:p>
      <w:pPr>
        <w:pStyle w:val="Guidance"/>
      </w:pPr>
      <w:r>
        <w:t>[Wellbeing support, mental-health resources and any counselling or benefits.]</w:t>
      </w:r>
    </w:p>
    <w:p>
      <w:pPr>
        <w:pStyle w:val="Heading2"/>
      </w:pPr>
      <w:r>
        <w:t>Learning &amp; development</w:t>
      </w:r>
    </w:p>
    <w:p>
      <w:pPr>
        <w:pStyle w:val="Guidance"/>
      </w:pPr>
      <w:r>
        <w:t>[Training budget, courses and how to request development.]</w:t>
      </w:r>
    </w:p>
    <w:p>
      <w:pPr>
        <w:pStyle w:val="Heading2"/>
      </w:pPr>
      <w:r>
        <w:t>Perks</w:t>
      </w:r>
    </w:p>
    <w:p>
      <w:pPr>
        <w:pStyle w:val="Guidance"/>
      </w:pPr>
      <w:r>
        <w:t>[Lunch, commuter, sports/culture (ePassi) or other benefits.]</w:t>
      </w:r>
    </w:p>
    <!-- ===== 10. PERFORMANCE & GROWTH ===== -->
    <w:p>
      <w:pPr>
        <w:pStyle w:val="Heading1"/>
      </w:pPr>
      <w:r>
        <w:t>10. Performance &amp; growth</w:t>
      </w:r>
    </w:p>
    <w:p>
      <w:pPr>
        <w:pStyle w:val="Heading2"/>
      </w:pPr>
      <w:r>
        <w:t>Goal setting</w:t>
      </w:r>
    </w:p>
    <w:p>
      <w:pPr>
        <w:pStyle w:val="Guidance"/>
      </w:pPr>
      <w:r>
        <w:t>[How goals are agreed and linked to company objectives.]</w:t>
      </w:r>
    </w:p>
    <w:p>
      <w:pPr>
        <w:pStyle w:val="Heading2"/>
      </w:pPr>
      <w:r>
        <w:t>Reviews &amp; feedback</w:t>
      </w:r>
    </w:p>
    <w:p>
      <w:pPr>
        <w:pStyle w:val="Guidance"/>
      </w:pPr>
      <w:r>
        <w:t>[Review cadence, one-to-ones and your feedback culture.]</w:t>
      </w:r>
    </w:p>
    <w:p>
      <w:pPr>
        <w:pStyle w:val="Heading2"/>
      </w:pPr>
      <w:r>
        <w:t>Development &amp; promotions</w:t>
      </w:r>
    </w:p>
    <w:p>
      <w:pPr>
        <w:pStyle w:val="Guidance"/>
      </w:pPr>
      <w:r>
        <w:t>[How people grow, move roles and are promoted.]</w:t>
      </w:r>
    </w:p>
    <!-- ===== 11. HEALTH, SAFETY & SECURITY ===== -->
    <w:p>
      <w:pPr>
        <w:pStyle w:val="Heading1"/>
      </w:pPr>
      <w:r>
        <w:t>11. Health, safety &amp; security</w:t>
      </w:r>
    </w:p>
    <w:p>
      <w:pPr>
        <w:pStyle w:val="Heading2"/>
      </w:pPr>
      <w:r>
        <w:t>A safe workplace</w:t>
      </w:r>
    </w:p>
    <w:p>
      <w:r>
        <w:t>We follow the Occupational Safety and Health Act to keep the workplace safe. Everyone shares responsibility for spotting and reporting risks.</w:t>
      </w:r>
    </w:p>
    <w:p>
      <w:pPr>
        <w:pStyle w:val="Heading2"/>
      </w:pPr>
      <w:r>
        <w:t>In an emergency</w:t>
      </w:r>
    </w:p>
    <w:p>
      <w:r>
        <w:t>In a life-threatening emergency, call 112 (the general emergency number across Finland and the EU). [Add first-aid contacts and assembly points.]</w:t>
      </w:r>
    </w:p>
    <w:p>
      <w:pPr>
        <w:pStyle w:val="Heading2"/>
      </w:pPr>
      <w:r>
        <w:t>Reporting incidents</w:t>
      </w:r>
    </w:p>
    <w:p>
      <w:pPr>
        <w:pStyle w:val="Guidance"/>
      </w:pPr>
      <w:r>
        <w:t>[How to report accidents, near-misses and hazards.]</w:t>
      </w:r>
    </w:p>
    <w:p>
      <w:pPr>
        <w:pStyle w:val="Heading2"/>
      </w:pPr>
      <w:r>
        <w:t>Ergonomics &amp; working comfortably</w:t>
      </w:r>
    </w:p>
    <w:p>
      <w:pPr>
        <w:pStyle w:val="Guidance"/>
      </w:pPr>
      <w:r>
        <w:t>[Desk set-up, screen breaks and support for home-office ergonomics.]</w:t>
      </w:r>
    </w:p>
    <!-- ===== 12. RESPECT AT WORK & RAISING CONCERNS ===== -->
    <w:p>
      <w:pPr>
        <w:pStyle w:val="Heading1"/>
      </w:pPr>
      <w:r>
        <w:t>12. Respect at work &amp; raising concerns</w:t>
      </w:r>
    </w:p>
    <w:p>
      <w:pPr>
        <w:pStyle w:val="Heading2"/>
      </w:pPr>
      <w:r>
        <w:t>Anti-harassment &amp; bullying</w:t>
      </w:r>
    </w:p>
    <w:p>
      <w:r>
        <w:t>Harassment, bullying and discrimination are not tolerated. If you experience or witness it, raise it using the steps below; all reports are taken seriously and handled confidentially.</w:t>
      </w:r>
    </w:p>
    <w:p>
      <w:pPr>
        <w:pStyle w:val="Heading2"/>
      </w:pPr>
      <w:r>
        <w:t>Equality, diversity &amp; inclusion</w:t>
      </w:r>
    </w:p>
    <w:p>
      <w:pPr>
        <w:pStyle w:val="Guidance"/>
      </w:pPr>
      <w:r>
        <w:t>[Your commitment to a fair, diverse and inclusive workplace, and any equality plan.]</w:t>
      </w:r>
    </w:p>
    <w:p>
      <w:pPr>
        <w:pStyle w:val="Heading2"/>
      </w:pPr>
      <w:r>
        <w:t>Raising a concern (grievance)</w:t>
      </w:r>
    </w:p>
    <w:p>
      <w:pPr>
        <w:pStyle w:val="Guidance"/>
      </w:pPr>
      <w:r>
        <w:t>[Step-by-step: who to speak to first, how to escalate, and expected timelines.]</w:t>
      </w:r>
    </w:p>
    <w:p>
      <w:pPr>
        <w:pStyle w:val="Heading2"/>
      </w:pPr>
      <w:r>
        <w:t>Disciplinary process</w:t>
      </w:r>
    </w:p>
    <w:p>
      <w:pPr>
        <w:pStyle w:val="Guidance"/>
      </w:pPr>
      <w:r>
        <w:t>[Stages from informal discussion to warnings, following fair-process requirements.]</w:t>
      </w:r>
    </w:p>
    <w:p>
      <w:pPr>
        <w:pStyle w:val="Heading2"/>
      </w:pPr>
      <w:r>
        <w:t>Whistleblowing</w:t>
      </w:r>
    </w:p>
    <w:p>
      <w:pPr>
        <w:pStyle w:val="Guidance"/>
      </w:pPr>
      <w:r>
        <w:t>[Confidential channel for reporting misconduct, in line with the Whistleblower Protection Act.]</w:t>
      </w:r>
    </w:p>
    <!-- ===== 13. WHEN YOU LEAVE ===== -->
    <w:p>
      <w:pPr>
        <w:pStyle w:val="Heading1"/>
      </w:pPr>
      <w:r>
        <w:t>13. When you leave</w:t>
      </w:r>
    </w:p>
    <w:p>
      <w:pPr>
        <w:pStyle w:val="Heading2"/>
      </w:pPr>
      <w:r>
        <w:t>Resignation &amp; notice</w:t>
      </w:r>
    </w:p>
    <w:p>
      <w:r>
        <w:t>Notice periods follow your contract and the applicable TES. Please give notice in writing to your manager and HR.</w:t>
      </w:r>
    </w:p>
    <w:p>
      <w:pPr>
        <w:pStyle w:val="Heading2"/>
      </w:pPr>
      <w:r>
        <w:t>Exit interviews</w:t>
      </w:r>
    </w:p>
    <w:p>
      <w:pPr>
        <w:pStyle w:val="Guidance"/>
      </w:pPr>
      <w:r>
        <w:t>[How exit feedback is gathered and used.]</w:t>
      </w:r>
    </w:p>
    <w:p>
      <w:pPr>
        <w:pStyle w:val="Heading2"/>
      </w:pPr>
      <w:r>
        <w:t>Returning property &amp; access</w:t>
      </w:r>
    </w:p>
    <w:p>
      <w:pPr>
        <w:pStyle w:val="ListParagraph"/>
        <w:numPr>
          <w:ilvl w:val="0"/>
          <w:numId w:val="1"/>
        </w:numPr>
      </w:pPr>
      <w:r>
        <w:t>Laptop, phone and accessories</w:t>
      </w:r>
    </w:p>
    <w:p>
      <w:pPr>
        <w:pStyle w:val="ListParagraph"/>
        <w:numPr>
          <w:ilvl w:val="0"/>
          <w:numId w:val="1"/>
        </w:numPr>
      </w:pPr>
      <w:r>
        <w:t>Access cards and keys</w:t>
      </w:r>
    </w:p>
    <w:p>
      <w:pPr>
        <w:pStyle w:val="ListParagraph"/>
        <w:numPr>
          <w:ilvl w:val="0"/>
          <w:numId w:val="1"/>
        </w:numPr>
      </w:pPr>
      <w:r>
        <w:t>System and account access (revoked on the last day)</w:t>
      </w:r>
    </w:p>
    <w:p>
      <w:pPr>
        <w:pStyle w:val="Heading2"/>
      </w:pPr>
      <w:r>
        <w:t>Final pay &amp; references</w:t>
      </w:r>
    </w:p>
    <w:p>
      <w:r>
        <w:t>Your final pay, including any accrued holiday compensation, is settled after your last day. You are entitled to a written employment certificate (työtodistus) on request.</w:t>
      </w:r>
    </w:p>
    <!-- ===== 14. HANDBOOK DETAILS ===== -->
    <w:p>
      <w:pPr>
        <w:pStyle w:val="Heading1"/>
      </w:pPr>
      <w:r>
        <w:t>14. Handbook details</w:t>
      </w:r>
    </w:p>
    <w:p>
      <w:pPr>
        <w:pStyle w:val="Heading2"/>
      </w:pPr>
      <w:r>
        <w:t>Policy index</w:t>
      </w:r>
    </w:p>
    <w:p>
      <w:pPr>
        <w:pStyle w:val="Guidance"/>
      </w:pPr>
      <w:r>
        <w:t>[Link to any standalone policies that sit outside this handbook.]</w:t>
      </w:r>
    </w:p>
    <w:p>
      <w:pPr>
        <w:pStyle w:val="Heading2"/>
      </w:pPr>
      <w:r>
        <w:t>Key contacts</w:t>
      </w:r>
    </w:p>
    <w:p>
      <w:pPr>
        <w:pStyle w:val="ListParagraph"/>
        <w:numPr>
          <w:ilvl w:val="0"/>
          <w:numId w:val="1"/>
        </w:numPr>
      </w:pPr>
      <w:r>
        <w:t>HR — [name, email]</w:t>
      </w:r>
    </w:p>
    <w:p>
      <w:pPr>
        <w:pStyle w:val="ListParagraph"/>
        <w:numPr>
          <w:ilvl w:val="0"/>
          <w:numId w:val="1"/>
        </w:numPr>
      </w:pPr>
      <w:r>
        <w:t>Payroll — [name, email]</w:t>
      </w:r>
    </w:p>
    <w:p>
      <w:pPr>
        <w:pStyle w:val="ListParagraph"/>
        <w:numPr>
          <w:ilvl w:val="0"/>
          <w:numId w:val="1"/>
        </w:numPr>
      </w:pPr>
      <w:r>
        <w:t>IT support — [name, email]</w:t>
      </w:r>
    </w:p>
    <w:p>
      <w:pPr>
        <w:pStyle w:val="ListParagraph"/>
        <w:numPr>
          <w:ilvl w:val="0"/>
          <w:numId w:val="1"/>
        </w:numPr>
      </w:pPr>
      <w:r>
        <w:t>Occupational healthcare — [provider, booking]</w:t>
      </w:r>
    </w:p>
    <w:p>
      <w:pPr>
        <w:pStyle w:val="ListParagraph"/>
        <w:numPr>
          <w:ilvl w:val="0"/>
          <w:numId w:val="1"/>
        </w:numPr>
      </w:pPr>
      <w:r>
        <w:t>Emergency — 112</w:t>
      </w:r>
    </w:p>
    <w:p>
      <w:pPr>
        <w:pStyle w:val="Heading2"/>
      </w:pPr>
      <w:r>
        <w:t>Glossary</w:t>
      </w:r>
    </w:p>
    <w:p>
      <w:pPr>
        <w:pStyle w:val="Guidance"/>
      </w:pPr>
      <w:r>
        <w:t>[Explain terms such as TES, Kela, TyEL, verokortti and any internal acronyms.]</w:t>
      </w:r>
    </w:p>
    <w:p>
      <w:pPr>
        <w:pStyle w:val="Heading2"/>
      </w:pPr>
      <w:r>
        <w:t>Version history</w:t>
      </w:r>
    </w:p>
    <w:p>
      <w:pPr>
        <w:pStyle w:val="Guidance"/>
      </w:pPr>
      <w:r>
        <w:t>[Record the version, date and a note of what changed at each update.]</w:t>
      </w:r>
    </w:p>
    <!-- ===== ACKNOWLEDGEMENT ===== -->
    <w:p>
      <w:pPr>
        <w:pStyle w:val="Heading1"/>
        <w:pageBreakBefore/>
      </w:pPr>
      <w:r>
        <w:t>Acknowledgement of receipt</w:t>
      </w:r>
    </w:p>
    <w:p>
      <w:r>
        <w:t>I confirm that I have received, read and understood the Employee Handbook, and I agree to follow the policies it describes. I understand that this handbook is a set of guidelines rather than an employment contract, and that it may be updated over time.</w:t>
      </w:r>
    </w:p>
    <w:p>
      <w:pPr>
        <w:pBdr>
          <w:bottom w:val="single" w:sz="6" w:space="2" w:color="999999"/>
        </w:pBdr>
        <w:spacing w:before="640" w:after="0"/>
      </w:pPr>
    </w:p>
    <w:p>
      <w:pPr>
        <w:pStyle w:val="Guidance"/>
        <w:spacing w:after="80"/>
      </w:pPr>
      <w:r>
        <w:t>Employee name</w:t>
      </w:r>
    </w:p>
    <w:p>
      <w:pPr>
        <w:pBdr>
          <w:bottom w:val="single" w:sz="6" w:space="2" w:color="999999"/>
        </w:pBdr>
        <w:spacing w:before="560" w:after="0"/>
      </w:pPr>
    </w:p>
    <w:p>
      <w:pPr>
        <w:pStyle w:val="Guidance"/>
        <w:spacing w:after="80"/>
      </w:pPr>
      <w:r>
        <w:t>Signature</w:t>
      </w:r>
    </w:p>
    <w:p>
      <w:pPr>
        <w:pBdr>
          <w:bottom w:val="single" w:sz="6" w:space="2" w:color="999999"/>
        </w:pBdr>
        <w:spacing w:before="560" w:after="0"/>
        <w:ind w:right="5600"/>
      </w:pPr>
    </w:p>
    <w:p>
      <w:pPr>
        <w:pStyle w:val="Guidance"/>
        <w:spacing w:after="0"/>
      </w:pPr>
      <w:r>
        <w:t>Date</w:t>
      </w:r>
    </w:p>
    <!-- ============================= SECTION ============================= -->
    <w:sectPr>
      <w:footerReference w:type="default" r:id="rId4"/>
      <w:pgSz w:w="12240" w:h="15840"/>
      <w:pgMar w:top="1440" w:right="1440" w:bottom="1440" w:left="1440" w:header="720" w:footer="720" w:gutter="0"/>
      <w:cols w:space="720"/>
      <w:titlePg/>
      <w:docGrid w:linePitch="360"/>
    </w:sectPr>
  </w:body>
</w:document>
</file>

<file path=word/footer1.xml><?xml version="1.0" encoding="utf-8"?>
<w:ftr xmlns:w="http://schemas.openxmlformats.org/wordprocessingml/2006/main">
  <w:p>
    <w:pPr>
      <w:pBdr>
        <w:top w:val="single" w:sz="8" w:space="6" w:color="E5AF52"/>
      </w:pBdr>
      <w:tabs>
        <w:tab w:val="center" w:pos="4680"/>
        <w:tab w:val="right" w:pos="9360"/>
      </w:tabs>
      <w:spacing w:before="80" w:after="0"/>
      <w:rPr>
        <w:color w:val="6E6E6E"/>
        <w:sz w:val="16"/>
        <w:szCs w:val="16"/>
      </w:rPr>
    </w:pPr>
    <w:r>
      <w:rPr>
        <w:color w:val="6E6E6E"/>
        <w:sz w:val="16"/>
        <w:szCs w:val="16"/>
      </w:rPr>
      <w:t xml:space="preserve">Taru HR  ·  Employee Handbook</w:t>
    </w:r>
    <w:r>
      <w:rPr>
        <w:color w:val="6E6E6E"/>
        <w:sz w:val="16"/>
        <w:szCs w:val="16"/>
      </w:rPr>
      <w:tab/>
      <w:t xml:space="preserve">Page </w:t>
    </w:r>
    <w:r>
      <w:rPr>
        <w:color w:val="B8860B"/>
        <w:sz w:val="16"/>
        <w:szCs w:val="16"/>
      </w:rPr>
      <w:fldChar w:fldCharType="begin"/>
    </w:r>
    <w:r>
      <w:rPr>
        <w:color w:val="B8860B"/>
        <w:sz w:val="16"/>
        <w:szCs w:val="16"/>
      </w:rPr>
      <w:instrText xml:space="preserve"> PAGE </w:instrText>
    </w:r>
    <w:r>
      <w:rPr>
        <w:color w:val="B8860B"/>
        <w:sz w:val="16"/>
        <w:szCs w:val="16"/>
      </w:rPr>
      <w:fldChar w:fldCharType="end"/>
    </w:r>
    <w:r>
      <w:rPr>
        <w:color w:val="6E6E6E"/>
        <w:sz w:val="16"/>
        <w:szCs w:val="16"/>
      </w:rPr>
      <w:tab/>
      <w:t>Confidential</w:t>
    </w:r>
  </w:p>
</w:ftr>
</file>

<file path=word/numbering.xml><?xml version="1.0" encoding="utf-8"?>
<w:numbering xmlns:w="http://schemas.openxmlformats.org/wordprocessingml/2006/main">
  <w:abstractNum w:abstractNumId="0">
    <w:nsid w:val="0A000001"/>
    <w:multiLevelType w:val="hybridMultilevel"/>
    <w:lvl w:ilvl="0">
      <w:start w:val="1"/>
      <w:numFmt w:val="bullet"/>
      <w:lvlText w:val="•"/>
      <w:lvlJc w:val="left"/>
      <w:pPr>
        <w:ind w:left="720" w:hanging="360"/>
      </w:pPr>
      <w:rPr>
        <w:rFonts w:ascii="Poppins" w:hAnsi="Poppins" w:hint="default"/>
        <w:color w:val="B8860B"/>
      </w:rPr>
    </w:lvl>
  </w:abstractNum>
  <w:abstractNum w:abstractNumId="1">
    <w:nsid w:val="0A000002"/>
    <w:multiLevelType w:val="hybridMultilevel"/>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updateFields w:val="tru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Poppins" w:hAnsi="Poppins" w:cs="Poppins"/>
        <w:color w:val="222222"/>
        <w:sz w:val="22"/>
        <w:szCs w:val="22"/>
        <w:lang w:val="en-US"/>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uiPriority w:val="9"/>
    <w:qFormat/>
    <w:pPr>
      <w:keepNext/>
      <w:pBdr>
        <w:bottom w:val="single" w:sz="18" w:space="6" w:color="E5AF52"/>
      </w:pBdr>
      <w:spacing w:before="360" w:after="140"/>
      <w:outlineLvl w:val="0"/>
    </w:pPr>
    <w:rPr>
      <w:b/>
      <w:color w:val="1A1A1A"/>
      <w:sz w:val="34"/>
      <w:szCs w:val="34"/>
    </w:rPr>
  </w:style>
  <w:style w:type="paragraph" w:styleId="Heading2">
    <w:name w:val="heading 2"/>
    <w:basedOn w:val="Normal"/>
    <w:next w:val="Normal"/>
    <w:uiPriority w:val="9"/>
    <w:qFormat/>
    <w:pPr>
      <w:keepNext/>
      <w:spacing w:before="240" w:after="60"/>
      <w:outlineLvl w:val="1"/>
    </w:pPr>
    <w:rPr>
      <w:b/>
      <w:color w:val="B8860B"/>
      <w:sz w:val="26"/>
      <w:szCs w:val="26"/>
    </w:rPr>
  </w:style>
  <w:style w:type="paragraph" w:styleId="Heading3">
    <w:name w:val="heading 3"/>
    <w:basedOn w:val="Normal"/>
    <w:next w:val="Normal"/>
    <w:uiPriority w:val="9"/>
    <w:qFormat/>
    <w:pPr>
      <w:keepNext/>
      <w:spacing w:before="200" w:after="40"/>
      <w:outlineLvl w:val="2"/>
    </w:pPr>
    <w:rPr>
      <w:b/>
      <w:i/>
      <w:color w:val="1A1A1A"/>
      <w:sz w:val="23"/>
      <w:szCs w:val="23"/>
    </w:rPr>
  </w:style>
  <w:style w:type="paragraph" w:styleId="ContentsTitle">
    <w:name w:val="Contents Title"/>
    <w:basedOn w:val="Normal"/>
    <w:next w:val="Normal"/>
    <w:pPr>
      <w:pBdr>
        <w:bottom w:val="single" w:sz="18" w:space="6" w:color="E5AF52"/>
      </w:pBdr>
      <w:spacing w:before="0" w:after="240"/>
    </w:pPr>
    <w:rPr>
      <w:b/>
      <w:color w:val="1A1A1A"/>
      <w:sz w:val="40"/>
      <w:szCs w:val="40"/>
    </w:rPr>
  </w:style>
  <w:style w:type="paragraph" w:styleId="Guidance">
    <w:name w:val="Guidance"/>
    <w:basedOn w:val="Normal"/>
    <w:next w:val="Normal"/>
    <w:qFormat/>
    <w:pPr>
      <w:spacing w:after="120"/>
    </w:pPr>
    <w:rPr>
      <w:i/>
      <w:color w:val="6E6E6E"/>
    </w:rPr>
  </w:style>
  <w:style w:type="paragraph" w:styleId="ListParagraph">
    <w:name w:val="List Paragraph"/>
    <w:basedOn w:val="Normal"/>
    <w:uiPriority w:val="34"/>
    <w:qFormat/>
    <w:pPr>
      <w:ind w:left="720"/>
      <w:contextualSpacing/>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er" Target="footer1.xml"/>
</Relationships>

</file>

<file path=docProps/app.xml><?xml version="1.0" encoding="utf-8"?>
<Properties xmlns="http://schemas.openxmlformats.org/officeDocument/2006/extended-properties">
  <Application>Taru HR Handbook Template</Application>
  <Company>Taru HR</Company>
</Properties>
</file>

<file path=docProps/core.xml><?xml version="1.0" encoding="utf-8"?>
<cp:coreProperties xmlns:cp="http://schemas.openxmlformats.org/package/2006/metadata/core-properties" xmlns:dc="http://purl.org/dc/elements/1.1/" xmlns:dcterms="http://purl.org/dc/terms/" xmlns:xsi="http://www.w3.org/2001/XMLSchema-instance">
  <dc:title>Employee Handbook</dc:title>
  <dc:subject>HR Employee Handbook Template</dc:subject>
  <dc:creator>Taru HR</dc:creator>
  <cp:keywords>HR, Employee Handbook, Template</cp:keywords>
  <cp:lastModifiedBy>Taru HR</cp:lastModifiedBy>
  <cp:revision>1</cp:revision>
</cp:coreProperties>
</file>