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57C" w:rsidRDefault="00EC7B13">
      <w:pPr>
        <w:spacing w:after="0" w:line="259" w:lineRule="auto"/>
        <w:ind w:left="0" w:right="0" w:firstLine="0"/>
        <w:jc w:val="center"/>
      </w:pPr>
      <w:proofErr w:type="spellStart"/>
      <w:r>
        <w:rPr>
          <w:color w:val="2A7B88"/>
          <w:sz w:val="56"/>
        </w:rPr>
        <w:t>Bandari</w:t>
      </w:r>
      <w:proofErr w:type="spellEnd"/>
      <w:r>
        <w:rPr>
          <w:color w:val="2A7B88"/>
          <w:sz w:val="56"/>
        </w:rPr>
        <w:t xml:space="preserve"> </w:t>
      </w:r>
      <w:proofErr w:type="spellStart"/>
      <w:r>
        <w:rPr>
          <w:color w:val="2A7B88"/>
          <w:sz w:val="56"/>
        </w:rPr>
        <w:t>Tarun</w:t>
      </w:r>
      <w:proofErr w:type="spellEnd"/>
      <w:r>
        <w:rPr>
          <w:color w:val="2A7B88"/>
          <w:sz w:val="56"/>
        </w:rPr>
        <w:t xml:space="preserve"> </w:t>
      </w:r>
    </w:p>
    <w:p w:rsidR="00AC757C" w:rsidRDefault="00EC7B13">
      <w:pPr>
        <w:spacing w:after="155" w:line="259" w:lineRule="auto"/>
        <w:ind w:left="-29" w:right="-29" w:firstLine="0"/>
      </w:pPr>
      <w:r>
        <w:rPr>
          <w:rFonts w:ascii="Calibri" w:eastAsia="Calibri" w:hAnsi="Calibri" w:cs="Calibri"/>
          <w:noProof/>
          <w:color w:val="000000"/>
          <w:sz w:val="22"/>
        </w:rPr>
        <mc:AlternateContent>
          <mc:Choice Requires="wpg">
            <w:drawing>
              <wp:inline distT="0" distB="0" distL="0" distR="0">
                <wp:extent cx="6347206" cy="18288"/>
                <wp:effectExtent l="0" t="0" r="0" b="0"/>
                <wp:docPr id="2664" name="Group 2664"/>
                <wp:cNvGraphicFramePr/>
                <a:graphic xmlns:a="http://schemas.openxmlformats.org/drawingml/2006/main">
                  <a:graphicData uri="http://schemas.microsoft.com/office/word/2010/wordprocessingGroup">
                    <wpg:wgp>
                      <wpg:cNvGrpSpPr/>
                      <wpg:grpSpPr>
                        <a:xfrm>
                          <a:off x="0" y="0"/>
                          <a:ext cx="6347206" cy="18288"/>
                          <a:chOff x="0" y="0"/>
                          <a:chExt cx="6347206" cy="18288"/>
                        </a:xfrm>
                      </wpg:grpSpPr>
                      <wps:wsp>
                        <wps:cNvPr id="3018" name="Shape 3018"/>
                        <wps:cNvSpPr/>
                        <wps:spPr>
                          <a:xfrm>
                            <a:off x="0" y="0"/>
                            <a:ext cx="6347206" cy="18288"/>
                          </a:xfrm>
                          <a:custGeom>
                            <a:avLst/>
                            <a:gdLst/>
                            <a:ahLst/>
                            <a:cxnLst/>
                            <a:rect l="0" t="0" r="0" b="0"/>
                            <a:pathLst>
                              <a:path w="6347206" h="18288">
                                <a:moveTo>
                                  <a:pt x="0" y="0"/>
                                </a:moveTo>
                                <a:lnTo>
                                  <a:pt x="6347206" y="0"/>
                                </a:lnTo>
                                <a:lnTo>
                                  <a:pt x="6347206" y="18288"/>
                                </a:lnTo>
                                <a:lnTo>
                                  <a:pt x="0" y="18288"/>
                                </a:lnTo>
                                <a:lnTo>
                                  <a:pt x="0" y="0"/>
                                </a:lnTo>
                              </a:path>
                            </a:pathLst>
                          </a:custGeom>
                          <a:ln w="0" cap="flat">
                            <a:miter lim="127000"/>
                          </a:ln>
                        </wps:spPr>
                        <wps:style>
                          <a:lnRef idx="0">
                            <a:srgbClr val="000000">
                              <a:alpha val="0"/>
                            </a:srgbClr>
                          </a:lnRef>
                          <a:fillRef idx="1">
                            <a:srgbClr val="39A5B7"/>
                          </a:fillRef>
                          <a:effectRef idx="0">
                            <a:scrgbClr r="0" g="0" b="0"/>
                          </a:effectRef>
                          <a:fontRef idx="none"/>
                        </wps:style>
                        <wps:bodyPr/>
                      </wps:wsp>
                    </wpg:wgp>
                  </a:graphicData>
                </a:graphic>
              </wp:inline>
            </w:drawing>
          </mc:Choice>
          <mc:Fallback xmlns:a="http://schemas.openxmlformats.org/drawingml/2006/main">
            <w:pict>
              <v:group id="Group 2664" style="width:499.78pt;height:1.44pt;mso-position-horizontal-relative:char;mso-position-vertical-relative:line" coordsize="63472,182">
                <v:shape id="Shape 3019" style="position:absolute;width:63472;height:182;left:0;top:0;" coordsize="6347206,18288" path="m0,0l6347206,0l6347206,18288l0,18288l0,0">
                  <v:stroke weight="0pt" endcap="flat" joinstyle="miter" miterlimit="10" on="false" color="#000000" opacity="0"/>
                  <v:fill on="true" color="#39a5b7"/>
                </v:shape>
              </v:group>
            </w:pict>
          </mc:Fallback>
        </mc:AlternateContent>
      </w:r>
    </w:p>
    <w:p w:rsidR="00AC757C" w:rsidRDefault="00EC7B13">
      <w:pPr>
        <w:spacing w:after="377" w:line="259" w:lineRule="auto"/>
        <w:ind w:left="0" w:firstLine="0"/>
        <w:jc w:val="center"/>
      </w:pPr>
      <w:r>
        <w:t xml:space="preserve">Hyderabad, Telangana, India| 756-926-0936 | </w:t>
      </w:r>
      <w:r>
        <w:rPr>
          <w:color w:val="2A7B88"/>
          <w:u w:val="single" w:color="2A7B88"/>
        </w:rPr>
        <w:t>bandarit1997@gmail.com</w:t>
      </w:r>
      <w:r>
        <w:rPr>
          <w:color w:val="2A7B88"/>
        </w:rPr>
        <w:t xml:space="preserve"> </w:t>
      </w:r>
      <w:r>
        <w:t xml:space="preserve">| </w:t>
      </w:r>
    </w:p>
    <w:p w:rsidR="00AC757C" w:rsidRDefault="00EC7B13">
      <w:pPr>
        <w:pStyle w:val="Heading1"/>
        <w:spacing w:after="67"/>
        <w:ind w:left="-5"/>
      </w:pPr>
      <w:r>
        <w:t>Profile Summary</w:t>
      </w:r>
      <w:r>
        <w:rPr>
          <w:u w:val="none" w:color="000000"/>
          <w:shd w:val="clear" w:color="auto" w:fill="auto"/>
        </w:rPr>
        <w:t xml:space="preserve"> </w:t>
      </w:r>
    </w:p>
    <w:p w:rsidR="00AC757C" w:rsidRPr="00EC7B13" w:rsidRDefault="00EC7B13">
      <w:pPr>
        <w:spacing w:after="0" w:line="259" w:lineRule="auto"/>
        <w:ind w:left="0" w:right="0" w:firstLine="0"/>
      </w:pPr>
      <w:r w:rsidRPr="00EC7B13">
        <w:rPr>
          <w:sz w:val="21"/>
        </w:rPr>
        <w:t xml:space="preserve">Senior </w:t>
      </w:r>
      <w:r w:rsidRPr="00EC7B13">
        <w:rPr>
          <w:b/>
          <w:sz w:val="21"/>
        </w:rPr>
        <w:t>US Mortgage Live Underwriter with 4.4 years of total professional experience, including 2.9 years of specialized experience in US residential mortgage</w:t>
      </w:r>
      <w:r w:rsidRPr="00EC7B13">
        <w:rPr>
          <w:sz w:val="21"/>
        </w:rPr>
        <w:t xml:space="preserve"> credit risk assessment across Conventional guidelines (FNMA/FHLMC). Immediate joiner. Adept at qualifying income for self-employed borrowers using IRS Forms 1040, 1120, 1120-S, and 1065. Expertise includes calculating LTV and DTI, analyzing collateral, clearing asset conditions, and supporting AUS findings in Encompass (LOS) while maintaining high service standards, quality control, and turnaround times. Six Sigma Yellow Belt certified.  </w:t>
      </w:r>
      <w:r w:rsidRPr="00EC7B13">
        <w:rPr>
          <w:sz w:val="21"/>
        </w:rPr>
        <w:t xml:space="preserve"> </w:t>
      </w:r>
    </w:p>
    <w:p w:rsidR="00AC757C" w:rsidRDefault="00EC7B13">
      <w:pPr>
        <w:spacing w:after="45" w:line="259" w:lineRule="auto"/>
        <w:ind w:left="0" w:right="0" w:firstLine="0"/>
      </w:pPr>
      <w:r>
        <w:rPr>
          <w:sz w:val="21"/>
        </w:rPr>
        <w:t xml:space="preserve"> </w:t>
      </w:r>
    </w:p>
    <w:p w:rsidR="00AC757C" w:rsidRDefault="00EC7B13">
      <w:pPr>
        <w:pStyle w:val="Heading1"/>
        <w:spacing w:after="180"/>
        <w:ind w:left="-5"/>
      </w:pPr>
      <w:r>
        <w:t>Experience</w:t>
      </w:r>
      <w:r>
        <w:rPr>
          <w:u w:val="none" w:color="000000"/>
          <w:shd w:val="clear" w:color="auto" w:fill="auto"/>
        </w:rPr>
        <w:t xml:space="preserve"> </w:t>
      </w:r>
    </w:p>
    <w:p w:rsidR="00AC757C" w:rsidRDefault="00EC7B13">
      <w:pPr>
        <w:spacing w:after="35" w:line="259" w:lineRule="auto"/>
        <w:ind w:left="-5" w:right="0" w:hanging="10"/>
      </w:pPr>
      <w:r>
        <w:rPr>
          <w:b/>
          <w:color w:val="262626"/>
          <w:sz w:val="22"/>
        </w:rPr>
        <w:t xml:space="preserve">SR. ASSOCIATE - TRANS PROCESSING | FEBRUARY 2026 – TILL DATE </w:t>
      </w:r>
    </w:p>
    <w:p w:rsidR="00AC757C" w:rsidRDefault="00EC7B13">
      <w:pPr>
        <w:pStyle w:val="Heading2"/>
        <w:ind w:left="-5"/>
      </w:pPr>
      <w:r>
        <w:t xml:space="preserve">Sutherland Mortgage </w:t>
      </w:r>
      <w:proofErr w:type="spellStart"/>
      <w:r>
        <w:t>Svcs</w:t>
      </w:r>
      <w:proofErr w:type="spellEnd"/>
      <w:r>
        <w:t xml:space="preserve"> </w:t>
      </w:r>
      <w:proofErr w:type="spellStart"/>
      <w:r>
        <w:t>Inc</w:t>
      </w:r>
      <w:proofErr w:type="spellEnd"/>
      <w:r>
        <w:rPr>
          <w:shd w:val="clear" w:color="auto" w:fill="auto"/>
        </w:rPr>
        <w:t xml:space="preserve"> </w:t>
      </w:r>
      <w:r>
        <w:rPr>
          <w:u w:val="none" w:color="000000"/>
          <w:shd w:val="clear" w:color="auto" w:fill="auto"/>
        </w:rPr>
        <w:t xml:space="preserve"> </w:t>
      </w:r>
    </w:p>
    <w:p w:rsidR="00AC757C" w:rsidRDefault="00EC7B13">
      <w:pPr>
        <w:ind w:left="211" w:right="0"/>
      </w:pPr>
      <w:r>
        <w:t>·</w:t>
      </w:r>
      <w:r>
        <w:rPr>
          <w:rFonts w:ascii="Arial" w:eastAsia="Arial" w:hAnsi="Arial" w:cs="Arial"/>
        </w:rPr>
        <w:t xml:space="preserve"> </w:t>
      </w:r>
      <w:r>
        <w:t xml:space="preserve">Underwrite complex US Retail Mortgage applications, assessing </w:t>
      </w:r>
      <w:r>
        <w:rPr>
          <w:b/>
        </w:rPr>
        <w:t xml:space="preserve">borrower creditworthiness, financial liabilities, and asset profiles </w:t>
      </w:r>
      <w:r>
        <w:t xml:space="preserve">in accordance with investor risk appetites and lending guidelines. </w:t>
      </w:r>
    </w:p>
    <w:p w:rsidR="00AC757C" w:rsidRDefault="00EC7B13">
      <w:pPr>
        <w:ind w:left="211" w:right="0"/>
      </w:pPr>
      <w:r>
        <w:t>·</w:t>
      </w:r>
      <w:r>
        <w:rPr>
          <w:rFonts w:ascii="Arial" w:eastAsia="Arial" w:hAnsi="Arial" w:cs="Arial"/>
        </w:rPr>
        <w:t xml:space="preserve"> </w:t>
      </w:r>
      <w:r>
        <w:t>Evaluate diverse property and asset valuation products,</w:t>
      </w:r>
      <w:r>
        <w:t xml:space="preserve"> including </w:t>
      </w:r>
      <w:r>
        <w:rPr>
          <w:b/>
        </w:rPr>
        <w:t>automated models and full appraisals</w:t>
      </w:r>
      <w:r>
        <w:t xml:space="preserve">, to calculate </w:t>
      </w:r>
      <w:r>
        <w:rPr>
          <w:b/>
        </w:rPr>
        <w:t>accurate loan-to-value risk metrics</w:t>
      </w:r>
      <w:r>
        <w:t xml:space="preserve"> and clear collateral conditions. </w:t>
      </w:r>
    </w:p>
    <w:p w:rsidR="00AC757C" w:rsidRDefault="00EC7B13">
      <w:pPr>
        <w:ind w:left="211" w:right="0"/>
      </w:pPr>
      <w:r>
        <w:t>·</w:t>
      </w:r>
      <w:r>
        <w:rPr>
          <w:rFonts w:ascii="Arial" w:eastAsia="Arial" w:hAnsi="Arial" w:cs="Arial"/>
        </w:rPr>
        <w:t xml:space="preserve"> </w:t>
      </w:r>
      <w:r>
        <w:t xml:space="preserve">Manage a high-volume pipeline efficiently, consistently meeting daily </w:t>
      </w:r>
      <w:r>
        <w:rPr>
          <w:b/>
        </w:rPr>
        <w:t>Turnaround Time (TAT) metrics</w:t>
      </w:r>
      <w:r>
        <w:t xml:space="preserve"> while ensuring 100% da</w:t>
      </w:r>
      <w:r>
        <w:t xml:space="preserve">ta integrity in the Loan Origination System (LOS). </w:t>
      </w:r>
    </w:p>
    <w:p w:rsidR="00AC757C" w:rsidRDefault="00EC7B13">
      <w:pPr>
        <w:ind w:left="211" w:right="0"/>
      </w:pPr>
      <w:r>
        <w:t>·</w:t>
      </w:r>
      <w:r>
        <w:rPr>
          <w:rFonts w:ascii="Arial" w:eastAsia="Arial" w:hAnsi="Arial" w:cs="Arial"/>
        </w:rPr>
        <w:t xml:space="preserve"> </w:t>
      </w:r>
      <w:r>
        <w:rPr>
          <w:b/>
        </w:rPr>
        <w:t>Analyze credit reports, title commitments, and insurance policies</w:t>
      </w:r>
      <w:r>
        <w:t xml:space="preserve"> to identify potential liabilities, ensuring all files are clear of title or compliance defects before final sign-off. </w:t>
      </w:r>
    </w:p>
    <w:p w:rsidR="00AC757C" w:rsidRDefault="00EC7B13">
      <w:pPr>
        <w:ind w:left="211" w:right="0"/>
      </w:pPr>
      <w:r>
        <w:t>·</w:t>
      </w:r>
      <w:r>
        <w:rPr>
          <w:rFonts w:ascii="Arial" w:eastAsia="Arial" w:hAnsi="Arial" w:cs="Arial"/>
        </w:rPr>
        <w:t xml:space="preserve"> </w:t>
      </w:r>
      <w:r>
        <w:rPr>
          <w:b/>
        </w:rPr>
        <w:t>Review and clear complex underwriting conditions</w:t>
      </w:r>
      <w:r>
        <w:t xml:space="preserve"> related to borrower assets and employment stability, collaborating effectively with cross-functional teams to streamline the loan life cycle. </w:t>
      </w:r>
    </w:p>
    <w:p w:rsidR="00AC757C" w:rsidRDefault="00EC7B13">
      <w:pPr>
        <w:spacing w:after="258"/>
        <w:ind w:left="211" w:right="0"/>
      </w:pPr>
      <w:r>
        <w:t>·</w:t>
      </w:r>
      <w:r>
        <w:rPr>
          <w:rFonts w:ascii="Arial" w:eastAsia="Arial" w:hAnsi="Arial" w:cs="Arial"/>
        </w:rPr>
        <w:t xml:space="preserve"> </w:t>
      </w:r>
      <w:r>
        <w:rPr>
          <w:b/>
        </w:rPr>
        <w:t>Perform real-time compliance and fraud detection analysis</w:t>
      </w:r>
      <w:r>
        <w:t>, cro</w:t>
      </w:r>
      <w:r>
        <w:t xml:space="preserve">ss-referencing system alerts with applicant data to identify data discrepancies and mitigate risk prior to final approval. </w:t>
      </w:r>
    </w:p>
    <w:p w:rsidR="00AC757C" w:rsidRDefault="00EC7B13">
      <w:pPr>
        <w:spacing w:after="35" w:line="259" w:lineRule="auto"/>
        <w:ind w:left="-5" w:right="0" w:hanging="10"/>
      </w:pPr>
      <w:r>
        <w:rPr>
          <w:b/>
          <w:color w:val="262626"/>
          <w:sz w:val="22"/>
        </w:rPr>
        <w:t xml:space="preserve">BUSINESS PROCESS ASSOCIATE | NOVEMBER 2023 – JANUARY 2026 </w:t>
      </w:r>
    </w:p>
    <w:p w:rsidR="00AC757C" w:rsidRDefault="00EC7B13">
      <w:pPr>
        <w:pStyle w:val="Heading2"/>
        <w:ind w:left="-5"/>
      </w:pPr>
      <w:proofErr w:type="spellStart"/>
      <w:r>
        <w:t>Adiel</w:t>
      </w:r>
      <w:proofErr w:type="spellEnd"/>
      <w:r>
        <w:t xml:space="preserve"> Technologies </w:t>
      </w:r>
      <w:proofErr w:type="spellStart"/>
      <w:r>
        <w:t>Pvt.Ltd</w:t>
      </w:r>
      <w:proofErr w:type="spellEnd"/>
      <w:r>
        <w:rPr>
          <w:shd w:val="clear" w:color="auto" w:fill="auto"/>
        </w:rPr>
        <w:t xml:space="preserve"> </w:t>
      </w:r>
      <w:r>
        <w:rPr>
          <w:u w:val="none" w:color="000000"/>
          <w:shd w:val="clear" w:color="auto" w:fill="auto"/>
        </w:rPr>
        <w:t xml:space="preserve"> </w:t>
      </w:r>
    </w:p>
    <w:p w:rsidR="00AC757C" w:rsidRDefault="00EC7B13">
      <w:pPr>
        <w:ind w:left="211" w:right="0"/>
      </w:pPr>
      <w:r>
        <w:t>·</w:t>
      </w:r>
      <w:r>
        <w:rPr>
          <w:rFonts w:ascii="Arial" w:eastAsia="Arial" w:hAnsi="Arial" w:cs="Arial"/>
        </w:rPr>
        <w:t xml:space="preserve"> </w:t>
      </w:r>
      <w:r>
        <w:t>Evaluate and Review mortgage loan applicat</w:t>
      </w:r>
      <w:r>
        <w:t xml:space="preserve">ions and borrower provided documentation to verify property and loan conditions meet investor, FNMA &amp; FHLMC underwriting guidelines. </w:t>
      </w:r>
    </w:p>
    <w:p w:rsidR="00AC757C" w:rsidRDefault="00EC7B13">
      <w:pPr>
        <w:ind w:left="211" w:right="0"/>
      </w:pPr>
      <w:r>
        <w:t>·</w:t>
      </w:r>
      <w:r>
        <w:rPr>
          <w:rFonts w:ascii="Arial" w:eastAsia="Arial" w:hAnsi="Arial" w:cs="Arial"/>
        </w:rPr>
        <w:t xml:space="preserve"> </w:t>
      </w:r>
      <w:r>
        <w:t xml:space="preserve">Calculate </w:t>
      </w:r>
      <w:r>
        <w:rPr>
          <w:b/>
        </w:rPr>
        <w:t>LTV, DTI, qualify income</w:t>
      </w:r>
      <w:r>
        <w:t xml:space="preserve"> and others to support </w:t>
      </w:r>
      <w:r>
        <w:rPr>
          <w:b/>
        </w:rPr>
        <w:t>AUS findings and address condition issues</w:t>
      </w:r>
      <w:r>
        <w:t xml:space="preserve"> if any arise by reque</w:t>
      </w:r>
      <w:r>
        <w:t xml:space="preserve">sting additional documentation for final decision. </w:t>
      </w:r>
    </w:p>
    <w:p w:rsidR="00AC757C" w:rsidRDefault="00EC7B13">
      <w:pPr>
        <w:ind w:left="211" w:right="0"/>
      </w:pPr>
      <w:r>
        <w:t>·</w:t>
      </w:r>
      <w:r>
        <w:rPr>
          <w:rFonts w:ascii="Arial" w:eastAsia="Arial" w:hAnsi="Arial" w:cs="Arial"/>
        </w:rPr>
        <w:t xml:space="preserve"> </w:t>
      </w:r>
      <w:r>
        <w:t xml:space="preserve">Expertly reviewed personal and business tax returns, including </w:t>
      </w:r>
      <w:r>
        <w:rPr>
          <w:b/>
        </w:rPr>
        <w:t>IRS Form 1040, 1120, 1120-S, and 1065</w:t>
      </w:r>
      <w:r>
        <w:t xml:space="preserve">, to calculate qualifying income for self-employed and complex-profile borrowers. </w:t>
      </w:r>
    </w:p>
    <w:p w:rsidR="00AC757C" w:rsidRDefault="00EC7B13">
      <w:pPr>
        <w:ind w:left="211" w:right="0"/>
      </w:pPr>
      <w:r>
        <w:t>·</w:t>
      </w:r>
      <w:r>
        <w:rPr>
          <w:rFonts w:ascii="Arial" w:eastAsia="Arial" w:hAnsi="Arial" w:cs="Arial"/>
        </w:rPr>
        <w:t xml:space="preserve"> </w:t>
      </w:r>
      <w:r>
        <w:t>Underwrite new lo</w:t>
      </w:r>
      <w:r>
        <w:t xml:space="preserve">an files and all conditions within the lender define turn time to help company to maintain their turn time in good standing. </w:t>
      </w:r>
    </w:p>
    <w:p w:rsidR="00AC757C" w:rsidRDefault="00EC7B13">
      <w:pPr>
        <w:ind w:left="211" w:right="0"/>
      </w:pPr>
      <w:r>
        <w:t>·</w:t>
      </w:r>
      <w:r>
        <w:rPr>
          <w:rFonts w:ascii="Arial" w:eastAsia="Arial" w:hAnsi="Arial" w:cs="Arial"/>
        </w:rPr>
        <w:t xml:space="preserve"> </w:t>
      </w:r>
      <w:r>
        <w:t xml:space="preserve">Conduct deep-dive analysis of the </w:t>
      </w:r>
      <w:r>
        <w:rPr>
          <w:b/>
        </w:rPr>
        <w:t>4 "C"s of Credit</w:t>
      </w:r>
      <w:r>
        <w:t>—Credit, Capacity, Capital, and Collateral to ensure a holistic view of borrow</w:t>
      </w:r>
      <w:r>
        <w:t xml:space="preserve">er risk. </w:t>
      </w:r>
    </w:p>
    <w:p w:rsidR="00AC757C" w:rsidRDefault="00EC7B13">
      <w:pPr>
        <w:ind w:left="211" w:right="0"/>
      </w:pPr>
      <w:r>
        <w:t>·</w:t>
      </w:r>
      <w:r>
        <w:rPr>
          <w:rFonts w:ascii="Arial" w:eastAsia="Arial" w:hAnsi="Arial" w:cs="Arial"/>
        </w:rPr>
        <w:t xml:space="preserve"> </w:t>
      </w:r>
      <w:r>
        <w:t xml:space="preserve">Use </w:t>
      </w:r>
      <w:r>
        <w:rPr>
          <w:b/>
        </w:rPr>
        <w:t>AUS enabled internal underwriting engine(LOS)</w:t>
      </w:r>
      <w:r>
        <w:t xml:space="preserve"> to help make decision by following underwriting guidelines. </w:t>
      </w:r>
    </w:p>
    <w:p w:rsidR="00AC757C" w:rsidRDefault="00EC7B13">
      <w:pPr>
        <w:ind w:left="211" w:right="0"/>
      </w:pPr>
      <w:r>
        <w:t>·</w:t>
      </w:r>
      <w:r>
        <w:rPr>
          <w:rFonts w:ascii="Arial" w:eastAsia="Arial" w:hAnsi="Arial" w:cs="Arial"/>
        </w:rPr>
        <w:t xml:space="preserve"> </w:t>
      </w:r>
      <w:r>
        <w:t xml:space="preserve">Performed real-time </w:t>
      </w:r>
      <w:r>
        <w:rPr>
          <w:b/>
        </w:rPr>
        <w:t>Red Flag and Fraud Detection analysis</w:t>
      </w:r>
      <w:r>
        <w:t xml:space="preserve"> to mitigate risk, resulting in the immediate issuance of loan approvals o</w:t>
      </w:r>
      <w:r>
        <w:t xml:space="preserve">r denials. </w:t>
      </w:r>
    </w:p>
    <w:p w:rsidR="00EC7B13" w:rsidRDefault="00EC7B13">
      <w:pPr>
        <w:ind w:left="211" w:right="0"/>
      </w:pPr>
    </w:p>
    <w:p w:rsidR="00AC757C" w:rsidRDefault="00EC7B13">
      <w:pPr>
        <w:spacing w:after="35" w:line="259" w:lineRule="auto"/>
        <w:ind w:left="-5" w:right="0" w:hanging="10"/>
      </w:pPr>
      <w:r>
        <w:rPr>
          <w:b/>
          <w:color w:val="262626"/>
          <w:sz w:val="22"/>
        </w:rPr>
        <w:t xml:space="preserve">ASSOCIATE TECHNICAL SUPPORT | JULY 2022 – OCTOBER 2023 </w:t>
      </w:r>
    </w:p>
    <w:p w:rsidR="00AC757C" w:rsidRDefault="00EC7B13">
      <w:pPr>
        <w:pStyle w:val="Heading2"/>
        <w:ind w:left="-5"/>
      </w:pPr>
      <w:proofErr w:type="spellStart"/>
      <w:r>
        <w:t>Propanion</w:t>
      </w:r>
      <w:proofErr w:type="spellEnd"/>
      <w:r>
        <w:t xml:space="preserve"> India </w:t>
      </w:r>
      <w:proofErr w:type="spellStart"/>
      <w:r>
        <w:t>Pvt.Ltd</w:t>
      </w:r>
      <w:proofErr w:type="spellEnd"/>
      <w:r>
        <w:rPr>
          <w:shd w:val="clear" w:color="auto" w:fill="auto"/>
        </w:rPr>
        <w:t xml:space="preserve"> </w:t>
      </w:r>
      <w:r>
        <w:rPr>
          <w:u w:val="none" w:color="000000"/>
          <w:shd w:val="clear" w:color="auto" w:fill="auto"/>
        </w:rPr>
        <w:t xml:space="preserve"> </w:t>
      </w:r>
    </w:p>
    <w:p w:rsidR="00AC757C" w:rsidRDefault="00EC7B13">
      <w:pPr>
        <w:ind w:left="211" w:right="0"/>
      </w:pPr>
      <w:r>
        <w:t>·</w:t>
      </w:r>
      <w:r>
        <w:rPr>
          <w:rFonts w:ascii="Arial" w:eastAsia="Arial" w:hAnsi="Arial" w:cs="Arial"/>
        </w:rPr>
        <w:t xml:space="preserve"> </w:t>
      </w:r>
      <w:r>
        <w:t xml:space="preserve">Resolved an average of 70+ customer inquiries daily via email, and live chat, maintaining a 95% customer satisfaction rate. </w:t>
      </w:r>
    </w:p>
    <w:p w:rsidR="00AC757C" w:rsidRDefault="00EC7B13">
      <w:pPr>
        <w:ind w:left="211" w:right="0"/>
      </w:pPr>
      <w:r>
        <w:t>·</w:t>
      </w:r>
      <w:r>
        <w:rPr>
          <w:rFonts w:ascii="Arial" w:eastAsia="Arial" w:hAnsi="Arial" w:cs="Arial"/>
        </w:rPr>
        <w:t xml:space="preserve"> </w:t>
      </w:r>
      <w:r>
        <w:t>Managed cross-functional customer</w:t>
      </w:r>
      <w:r>
        <w:t xml:space="preserve"> complaints through various channels, enhancing resolution efficiency and achieving a 90% first-contact resolution rate. </w:t>
      </w:r>
    </w:p>
    <w:p w:rsidR="00AC757C" w:rsidRDefault="00EC7B13">
      <w:pPr>
        <w:ind w:left="211" w:right="0"/>
      </w:pPr>
      <w:r>
        <w:t>·</w:t>
      </w:r>
      <w:r>
        <w:rPr>
          <w:rFonts w:ascii="Arial" w:eastAsia="Arial" w:hAnsi="Arial" w:cs="Arial"/>
        </w:rPr>
        <w:t xml:space="preserve"> </w:t>
      </w:r>
      <w:r>
        <w:t xml:space="preserve">Engaged with customers to provide a positive customer experience, by answering questions and resolving complex customer inquiries. </w:t>
      </w:r>
    </w:p>
    <w:p w:rsidR="00AC757C" w:rsidRDefault="00EC7B13">
      <w:pPr>
        <w:spacing w:after="0"/>
        <w:ind w:left="211" w:right="0"/>
      </w:pPr>
      <w:r>
        <w:t>·</w:t>
      </w:r>
      <w:r>
        <w:rPr>
          <w:rFonts w:ascii="Arial" w:eastAsia="Arial" w:hAnsi="Arial" w:cs="Arial"/>
        </w:rPr>
        <w:t xml:space="preserve"> </w:t>
      </w:r>
      <w:r>
        <w:t xml:space="preserve">Addressed customer feedback and concerns with empathy and professionalism, transforming potentially negative experiences into positive outcomes. </w:t>
      </w:r>
    </w:p>
    <w:p w:rsidR="00AC757C" w:rsidRDefault="00EC7B13">
      <w:pPr>
        <w:spacing w:after="27" w:line="259" w:lineRule="auto"/>
        <w:ind w:left="0" w:right="0" w:firstLine="0"/>
      </w:pPr>
      <w:r>
        <w:t xml:space="preserve"> </w:t>
      </w:r>
    </w:p>
    <w:p w:rsidR="00AC757C" w:rsidRDefault="00EC7B13">
      <w:pPr>
        <w:spacing w:after="426" w:line="259" w:lineRule="auto"/>
        <w:ind w:left="0" w:right="0" w:firstLine="0"/>
      </w:pPr>
      <w:r>
        <w:t xml:space="preserve"> </w:t>
      </w:r>
    </w:p>
    <w:p w:rsidR="00AC757C" w:rsidRDefault="00EC7B13">
      <w:pPr>
        <w:pStyle w:val="Heading1"/>
        <w:ind w:left="-5"/>
      </w:pPr>
      <w:r>
        <w:t>Education</w:t>
      </w:r>
      <w:r>
        <w:rPr>
          <w:u w:val="none" w:color="000000"/>
          <w:shd w:val="clear" w:color="auto" w:fill="auto"/>
        </w:rPr>
        <w:t xml:space="preserve"> </w:t>
      </w:r>
    </w:p>
    <w:p w:rsidR="00AC757C" w:rsidRDefault="00EC7B13">
      <w:pPr>
        <w:spacing w:after="126" w:line="259" w:lineRule="auto"/>
        <w:ind w:left="0" w:right="0" w:firstLine="0"/>
      </w:pPr>
      <w:r>
        <w:rPr>
          <w:b/>
          <w:color w:val="000000"/>
          <w:sz w:val="22"/>
        </w:rPr>
        <w:t xml:space="preserve"> </w:t>
      </w:r>
    </w:p>
    <w:p w:rsidR="00AC757C" w:rsidRDefault="00EC7B13">
      <w:pPr>
        <w:numPr>
          <w:ilvl w:val="0"/>
          <w:numId w:val="1"/>
        </w:numPr>
        <w:spacing w:after="0" w:line="249" w:lineRule="auto"/>
        <w:ind w:right="0" w:hanging="360"/>
      </w:pPr>
      <w:r>
        <w:rPr>
          <w:b/>
          <w:color w:val="262626"/>
          <w:sz w:val="24"/>
        </w:rPr>
        <w:t xml:space="preserve">BACHELOR OF COMMERCE (COMPUTERS) | TELANGANA UNIVERSITY| NIZAMABAD, TELANGANA JUNE 2018 </w:t>
      </w:r>
    </w:p>
    <w:p w:rsidR="00AC757C" w:rsidRDefault="00EC7B13">
      <w:pPr>
        <w:spacing w:after="7" w:line="259" w:lineRule="auto"/>
        <w:ind w:left="360" w:right="0" w:firstLine="0"/>
      </w:pPr>
      <w:r>
        <w:rPr>
          <w:b/>
          <w:color w:val="262626"/>
          <w:sz w:val="24"/>
        </w:rPr>
        <w:t xml:space="preserve"> </w:t>
      </w:r>
    </w:p>
    <w:p w:rsidR="00AC757C" w:rsidRDefault="00EC7B13">
      <w:pPr>
        <w:numPr>
          <w:ilvl w:val="0"/>
          <w:numId w:val="1"/>
        </w:numPr>
        <w:spacing w:after="0" w:line="249" w:lineRule="auto"/>
        <w:ind w:right="0" w:hanging="360"/>
      </w:pPr>
      <w:r>
        <w:rPr>
          <w:b/>
          <w:color w:val="262626"/>
          <w:sz w:val="24"/>
        </w:rPr>
        <w:t xml:space="preserve">INTERMEDIATE | SRI GAYATRI JUNIOR COLLEGE| HYDERABAD, </w:t>
      </w:r>
      <w:proofErr w:type="gramStart"/>
      <w:r>
        <w:rPr>
          <w:b/>
          <w:color w:val="262626"/>
          <w:sz w:val="24"/>
        </w:rPr>
        <w:t>TELANGANA  JUNE</w:t>
      </w:r>
      <w:proofErr w:type="gramEnd"/>
      <w:r>
        <w:rPr>
          <w:b/>
          <w:color w:val="262626"/>
          <w:sz w:val="24"/>
        </w:rPr>
        <w:t xml:space="preserve"> 2014 </w:t>
      </w:r>
    </w:p>
    <w:p w:rsidR="00AC757C" w:rsidRDefault="00EC7B13">
      <w:pPr>
        <w:spacing w:after="0" w:line="259" w:lineRule="auto"/>
        <w:ind w:left="360" w:right="0" w:firstLine="0"/>
      </w:pPr>
      <w:r>
        <w:rPr>
          <w:b/>
          <w:color w:val="262626"/>
          <w:sz w:val="24"/>
        </w:rPr>
        <w:t xml:space="preserve"> </w:t>
      </w:r>
    </w:p>
    <w:p w:rsidR="00AC757C" w:rsidRDefault="00EC7B13">
      <w:pPr>
        <w:numPr>
          <w:ilvl w:val="0"/>
          <w:numId w:val="1"/>
        </w:numPr>
        <w:spacing w:after="216" w:line="249" w:lineRule="auto"/>
        <w:ind w:right="0" w:hanging="360"/>
      </w:pPr>
      <w:r>
        <w:rPr>
          <w:b/>
          <w:color w:val="262626"/>
          <w:sz w:val="24"/>
        </w:rPr>
        <w:t>10</w:t>
      </w:r>
      <w:r>
        <w:rPr>
          <w:b/>
          <w:color w:val="262626"/>
          <w:sz w:val="24"/>
          <w:vertAlign w:val="superscript"/>
        </w:rPr>
        <w:t>TH</w:t>
      </w:r>
      <w:r>
        <w:rPr>
          <w:b/>
          <w:color w:val="262626"/>
          <w:sz w:val="24"/>
        </w:rPr>
        <w:t xml:space="preserve"> STANDARD | BHASHYAM HIGH SCHOOL| HYDERABAD, TELANGANA | JUNE 2012 </w:t>
      </w:r>
    </w:p>
    <w:p w:rsidR="00AC757C" w:rsidRDefault="00EC7B13">
      <w:pPr>
        <w:spacing w:after="350" w:line="259" w:lineRule="auto"/>
        <w:ind w:left="0" w:right="0" w:firstLine="0"/>
      </w:pPr>
      <w:r>
        <w:rPr>
          <w:sz w:val="22"/>
        </w:rPr>
        <w:t xml:space="preserve"> </w:t>
      </w:r>
    </w:p>
    <w:p w:rsidR="00AC757C" w:rsidRDefault="00EC7B13">
      <w:pPr>
        <w:pStyle w:val="Heading1"/>
        <w:ind w:left="-5"/>
      </w:pPr>
      <w:r>
        <w:t>Skills &amp; Abilities</w:t>
      </w:r>
      <w:r>
        <w:rPr>
          <w:u w:val="none" w:color="000000"/>
          <w:shd w:val="clear" w:color="auto" w:fill="auto"/>
        </w:rPr>
        <w:t xml:space="preserve"> </w:t>
      </w:r>
    </w:p>
    <w:p w:rsidR="00AC757C" w:rsidRDefault="00EC7B13">
      <w:pPr>
        <w:spacing w:after="71" w:line="259" w:lineRule="auto"/>
        <w:ind w:left="0" w:right="0" w:firstLine="0"/>
      </w:pPr>
      <w:r>
        <w:rPr>
          <w:sz w:val="22"/>
        </w:rPr>
        <w:t xml:space="preserve"> </w:t>
      </w:r>
    </w:p>
    <w:p w:rsidR="00AC757C" w:rsidRPr="00EC7B13" w:rsidRDefault="00EC7B13" w:rsidP="00EC7B13">
      <w:pPr>
        <w:numPr>
          <w:ilvl w:val="0"/>
          <w:numId w:val="2"/>
        </w:numPr>
        <w:spacing w:after="41" w:line="287" w:lineRule="auto"/>
        <w:ind w:right="0" w:hanging="360"/>
      </w:pPr>
      <w:r w:rsidRPr="00EC7B13">
        <w:rPr>
          <w:b/>
          <w:sz w:val="22"/>
        </w:rPr>
        <w:t>Core Underwriting &amp; Compliance</w:t>
      </w:r>
      <w:r w:rsidRPr="00EC7B13">
        <w:rPr>
          <w:sz w:val="22"/>
        </w:rPr>
        <w:t>: Credit Risk Assessment, Deep Analysis of the 4 C's, Red Flag &amp; Fraud Detection, Quality Control, Investor Overlay Guidelines, FNMA / FHLMC Guidelines</w:t>
      </w:r>
      <w:r w:rsidRPr="00EC7B13">
        <w:rPr>
          <w:sz w:val="22"/>
        </w:rPr>
        <w:t xml:space="preserve">. </w:t>
      </w:r>
    </w:p>
    <w:p w:rsidR="00EC7B13" w:rsidRPr="00EC7B13" w:rsidRDefault="00EC7B13" w:rsidP="00EC7B13">
      <w:pPr>
        <w:numPr>
          <w:ilvl w:val="0"/>
          <w:numId w:val="2"/>
        </w:numPr>
        <w:spacing w:after="41" w:line="287" w:lineRule="auto"/>
        <w:ind w:right="0" w:hanging="360"/>
      </w:pPr>
      <w:r w:rsidRPr="00EC7B13">
        <w:rPr>
          <w:b/>
          <w:sz w:val="22"/>
        </w:rPr>
        <w:t>Financial &amp; Risk Modeling</w:t>
      </w:r>
      <w:r w:rsidRPr="00EC7B13">
        <w:rPr>
          <w:sz w:val="22"/>
        </w:rPr>
        <w:t>: Cash Flow Analysis, Qualifying Income Calculation (IRS Forms 1040, 1120, 1120-S, 1065), W-2 &amp; Wage Earner Analysis, LTV &amp; DTI Calculation Expertise, Appraisal &amp; Collateral Analysis.</w:t>
      </w:r>
    </w:p>
    <w:p w:rsidR="00AC757C" w:rsidRDefault="00EC7B13" w:rsidP="00EC7B13">
      <w:pPr>
        <w:numPr>
          <w:ilvl w:val="0"/>
          <w:numId w:val="2"/>
        </w:numPr>
        <w:spacing w:after="41" w:line="287" w:lineRule="auto"/>
        <w:ind w:right="0" w:hanging="360"/>
      </w:pPr>
      <w:r w:rsidRPr="00EC7B13">
        <w:rPr>
          <w:b/>
          <w:sz w:val="22"/>
        </w:rPr>
        <w:t>Systems &amp; Documentation</w:t>
      </w:r>
      <w:r w:rsidRPr="00EC7B13">
        <w:rPr>
          <w:sz w:val="22"/>
        </w:rPr>
        <w:t xml:space="preserve">: AUS &amp; LOS (Encompass), VOE/VOA Verification, Credit Report Analysis, MS Office. </w:t>
      </w:r>
    </w:p>
    <w:p w:rsidR="00AC757C" w:rsidRDefault="00EC7B13" w:rsidP="00EC7B13">
      <w:pPr>
        <w:numPr>
          <w:ilvl w:val="0"/>
          <w:numId w:val="2"/>
        </w:numPr>
        <w:spacing w:after="2545" w:line="287" w:lineRule="auto"/>
        <w:ind w:right="0" w:hanging="360"/>
      </w:pPr>
      <w:r>
        <w:rPr>
          <w:b/>
          <w:sz w:val="22"/>
        </w:rPr>
        <w:t>Professional Competencies: Decisio</w:t>
      </w:r>
      <w:r>
        <w:rPr>
          <w:b/>
          <w:sz w:val="22"/>
        </w:rPr>
        <w:t>n</w:t>
      </w:r>
      <w:r>
        <w:rPr>
          <w:sz w:val="22"/>
        </w:rPr>
        <w:t xml:space="preserve">-Making &amp; Problem-Solving, High-Volume Pipeline Management, </w:t>
      </w:r>
      <w:r>
        <w:rPr>
          <w:sz w:val="22"/>
        </w:rPr>
        <w:t>Turnaround Time (TAT) Optimization, Six Sigma Yellow Belt,</w:t>
      </w:r>
      <w:bookmarkStart w:id="0" w:name="_GoBack"/>
      <w:bookmarkEnd w:id="0"/>
      <w:r>
        <w:rPr>
          <w:sz w:val="22"/>
        </w:rPr>
        <w:t xml:space="preserve"> </w:t>
      </w:r>
      <w:r>
        <w:rPr>
          <w:sz w:val="22"/>
        </w:rPr>
        <w:t xml:space="preserve">Attention to Detail. </w:t>
      </w:r>
    </w:p>
    <w:sectPr w:rsidR="00AC757C">
      <w:pgSz w:w="12240" w:h="15840"/>
      <w:pgMar w:top="1045" w:right="1150" w:bottom="717"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CC5AD7"/>
    <w:multiLevelType w:val="hybridMultilevel"/>
    <w:tmpl w:val="45880364"/>
    <w:lvl w:ilvl="0" w:tplc="54DA9380">
      <w:start w:val="1"/>
      <w:numFmt w:val="bullet"/>
      <w:lvlText w:val=""/>
      <w:lvlJc w:val="left"/>
      <w:pPr>
        <w:ind w:left="360"/>
      </w:pPr>
      <w:rPr>
        <w:rFonts w:ascii="Wingdings" w:eastAsia="Wingdings" w:hAnsi="Wingdings" w:cs="Wingdings"/>
        <w:b w:val="0"/>
        <w:i w:val="0"/>
        <w:strike w:val="0"/>
        <w:dstrike w:val="0"/>
        <w:color w:val="262626"/>
        <w:sz w:val="24"/>
        <w:szCs w:val="24"/>
        <w:u w:val="none" w:color="000000"/>
        <w:bdr w:val="none" w:sz="0" w:space="0" w:color="auto"/>
        <w:shd w:val="clear" w:color="auto" w:fill="auto"/>
        <w:vertAlign w:val="baseline"/>
      </w:rPr>
    </w:lvl>
    <w:lvl w:ilvl="1" w:tplc="41FE3054">
      <w:start w:val="1"/>
      <w:numFmt w:val="bullet"/>
      <w:lvlText w:val="o"/>
      <w:lvlJc w:val="left"/>
      <w:pPr>
        <w:ind w:left="1080"/>
      </w:pPr>
      <w:rPr>
        <w:rFonts w:ascii="Wingdings" w:eastAsia="Wingdings" w:hAnsi="Wingdings" w:cs="Wingdings"/>
        <w:b w:val="0"/>
        <w:i w:val="0"/>
        <w:strike w:val="0"/>
        <w:dstrike w:val="0"/>
        <w:color w:val="262626"/>
        <w:sz w:val="24"/>
        <w:szCs w:val="24"/>
        <w:u w:val="none" w:color="000000"/>
        <w:bdr w:val="none" w:sz="0" w:space="0" w:color="auto"/>
        <w:shd w:val="clear" w:color="auto" w:fill="auto"/>
        <w:vertAlign w:val="baseline"/>
      </w:rPr>
    </w:lvl>
    <w:lvl w:ilvl="2" w:tplc="818EC4CA">
      <w:start w:val="1"/>
      <w:numFmt w:val="bullet"/>
      <w:lvlText w:val="▪"/>
      <w:lvlJc w:val="left"/>
      <w:pPr>
        <w:ind w:left="1800"/>
      </w:pPr>
      <w:rPr>
        <w:rFonts w:ascii="Wingdings" w:eastAsia="Wingdings" w:hAnsi="Wingdings" w:cs="Wingdings"/>
        <w:b w:val="0"/>
        <w:i w:val="0"/>
        <w:strike w:val="0"/>
        <w:dstrike w:val="0"/>
        <w:color w:val="262626"/>
        <w:sz w:val="24"/>
        <w:szCs w:val="24"/>
        <w:u w:val="none" w:color="000000"/>
        <w:bdr w:val="none" w:sz="0" w:space="0" w:color="auto"/>
        <w:shd w:val="clear" w:color="auto" w:fill="auto"/>
        <w:vertAlign w:val="baseline"/>
      </w:rPr>
    </w:lvl>
    <w:lvl w:ilvl="3" w:tplc="25E29EAC">
      <w:start w:val="1"/>
      <w:numFmt w:val="bullet"/>
      <w:lvlText w:val="•"/>
      <w:lvlJc w:val="left"/>
      <w:pPr>
        <w:ind w:left="2520"/>
      </w:pPr>
      <w:rPr>
        <w:rFonts w:ascii="Wingdings" w:eastAsia="Wingdings" w:hAnsi="Wingdings" w:cs="Wingdings"/>
        <w:b w:val="0"/>
        <w:i w:val="0"/>
        <w:strike w:val="0"/>
        <w:dstrike w:val="0"/>
        <w:color w:val="262626"/>
        <w:sz w:val="24"/>
        <w:szCs w:val="24"/>
        <w:u w:val="none" w:color="000000"/>
        <w:bdr w:val="none" w:sz="0" w:space="0" w:color="auto"/>
        <w:shd w:val="clear" w:color="auto" w:fill="auto"/>
        <w:vertAlign w:val="baseline"/>
      </w:rPr>
    </w:lvl>
    <w:lvl w:ilvl="4" w:tplc="A252BE54">
      <w:start w:val="1"/>
      <w:numFmt w:val="bullet"/>
      <w:lvlText w:val="o"/>
      <w:lvlJc w:val="left"/>
      <w:pPr>
        <w:ind w:left="3240"/>
      </w:pPr>
      <w:rPr>
        <w:rFonts w:ascii="Wingdings" w:eastAsia="Wingdings" w:hAnsi="Wingdings" w:cs="Wingdings"/>
        <w:b w:val="0"/>
        <w:i w:val="0"/>
        <w:strike w:val="0"/>
        <w:dstrike w:val="0"/>
        <w:color w:val="262626"/>
        <w:sz w:val="24"/>
        <w:szCs w:val="24"/>
        <w:u w:val="none" w:color="000000"/>
        <w:bdr w:val="none" w:sz="0" w:space="0" w:color="auto"/>
        <w:shd w:val="clear" w:color="auto" w:fill="auto"/>
        <w:vertAlign w:val="baseline"/>
      </w:rPr>
    </w:lvl>
    <w:lvl w:ilvl="5" w:tplc="53C650E2">
      <w:start w:val="1"/>
      <w:numFmt w:val="bullet"/>
      <w:lvlText w:val="▪"/>
      <w:lvlJc w:val="left"/>
      <w:pPr>
        <w:ind w:left="3960"/>
      </w:pPr>
      <w:rPr>
        <w:rFonts w:ascii="Wingdings" w:eastAsia="Wingdings" w:hAnsi="Wingdings" w:cs="Wingdings"/>
        <w:b w:val="0"/>
        <w:i w:val="0"/>
        <w:strike w:val="0"/>
        <w:dstrike w:val="0"/>
        <w:color w:val="262626"/>
        <w:sz w:val="24"/>
        <w:szCs w:val="24"/>
        <w:u w:val="none" w:color="000000"/>
        <w:bdr w:val="none" w:sz="0" w:space="0" w:color="auto"/>
        <w:shd w:val="clear" w:color="auto" w:fill="auto"/>
        <w:vertAlign w:val="baseline"/>
      </w:rPr>
    </w:lvl>
    <w:lvl w:ilvl="6" w:tplc="519C4F86">
      <w:start w:val="1"/>
      <w:numFmt w:val="bullet"/>
      <w:lvlText w:val="•"/>
      <w:lvlJc w:val="left"/>
      <w:pPr>
        <w:ind w:left="4680"/>
      </w:pPr>
      <w:rPr>
        <w:rFonts w:ascii="Wingdings" w:eastAsia="Wingdings" w:hAnsi="Wingdings" w:cs="Wingdings"/>
        <w:b w:val="0"/>
        <w:i w:val="0"/>
        <w:strike w:val="0"/>
        <w:dstrike w:val="0"/>
        <w:color w:val="262626"/>
        <w:sz w:val="24"/>
        <w:szCs w:val="24"/>
        <w:u w:val="none" w:color="000000"/>
        <w:bdr w:val="none" w:sz="0" w:space="0" w:color="auto"/>
        <w:shd w:val="clear" w:color="auto" w:fill="auto"/>
        <w:vertAlign w:val="baseline"/>
      </w:rPr>
    </w:lvl>
    <w:lvl w:ilvl="7" w:tplc="44AAA856">
      <w:start w:val="1"/>
      <w:numFmt w:val="bullet"/>
      <w:lvlText w:val="o"/>
      <w:lvlJc w:val="left"/>
      <w:pPr>
        <w:ind w:left="5400"/>
      </w:pPr>
      <w:rPr>
        <w:rFonts w:ascii="Wingdings" w:eastAsia="Wingdings" w:hAnsi="Wingdings" w:cs="Wingdings"/>
        <w:b w:val="0"/>
        <w:i w:val="0"/>
        <w:strike w:val="0"/>
        <w:dstrike w:val="0"/>
        <w:color w:val="262626"/>
        <w:sz w:val="24"/>
        <w:szCs w:val="24"/>
        <w:u w:val="none" w:color="000000"/>
        <w:bdr w:val="none" w:sz="0" w:space="0" w:color="auto"/>
        <w:shd w:val="clear" w:color="auto" w:fill="auto"/>
        <w:vertAlign w:val="baseline"/>
      </w:rPr>
    </w:lvl>
    <w:lvl w:ilvl="8" w:tplc="8A345ED4">
      <w:start w:val="1"/>
      <w:numFmt w:val="bullet"/>
      <w:lvlText w:val="▪"/>
      <w:lvlJc w:val="left"/>
      <w:pPr>
        <w:ind w:left="6120"/>
      </w:pPr>
      <w:rPr>
        <w:rFonts w:ascii="Wingdings" w:eastAsia="Wingdings" w:hAnsi="Wingdings" w:cs="Wingdings"/>
        <w:b w:val="0"/>
        <w:i w:val="0"/>
        <w:strike w:val="0"/>
        <w:dstrike w:val="0"/>
        <w:color w:val="262626"/>
        <w:sz w:val="24"/>
        <w:szCs w:val="24"/>
        <w:u w:val="none" w:color="000000"/>
        <w:bdr w:val="none" w:sz="0" w:space="0" w:color="auto"/>
        <w:shd w:val="clear" w:color="auto" w:fill="auto"/>
        <w:vertAlign w:val="baseline"/>
      </w:rPr>
    </w:lvl>
  </w:abstractNum>
  <w:abstractNum w:abstractNumId="1" w15:restartNumberingAfterBreak="0">
    <w:nsid w:val="354A2078"/>
    <w:multiLevelType w:val="hybridMultilevel"/>
    <w:tmpl w:val="A92436F4"/>
    <w:lvl w:ilvl="0" w:tplc="B3CC1C68">
      <w:start w:val="1"/>
      <w:numFmt w:val="bullet"/>
      <w:lvlText w:val="•"/>
      <w:lvlJc w:val="left"/>
      <w:pPr>
        <w:ind w:left="705"/>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1" w:tplc="33B29674">
      <w:start w:val="1"/>
      <w:numFmt w:val="bullet"/>
      <w:lvlText w:val="o"/>
      <w:lvlJc w:val="left"/>
      <w:pPr>
        <w:ind w:left="144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2" w:tplc="80ACD4D6">
      <w:start w:val="1"/>
      <w:numFmt w:val="bullet"/>
      <w:lvlText w:val="▪"/>
      <w:lvlJc w:val="left"/>
      <w:pPr>
        <w:ind w:left="216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3" w:tplc="A38E0E92">
      <w:start w:val="1"/>
      <w:numFmt w:val="bullet"/>
      <w:lvlText w:val="•"/>
      <w:lvlJc w:val="left"/>
      <w:pPr>
        <w:ind w:left="2880"/>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4" w:tplc="47561042">
      <w:start w:val="1"/>
      <w:numFmt w:val="bullet"/>
      <w:lvlText w:val="o"/>
      <w:lvlJc w:val="left"/>
      <w:pPr>
        <w:ind w:left="360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5" w:tplc="1914793A">
      <w:start w:val="1"/>
      <w:numFmt w:val="bullet"/>
      <w:lvlText w:val="▪"/>
      <w:lvlJc w:val="left"/>
      <w:pPr>
        <w:ind w:left="432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6" w:tplc="26A63462">
      <w:start w:val="1"/>
      <w:numFmt w:val="bullet"/>
      <w:lvlText w:val="•"/>
      <w:lvlJc w:val="left"/>
      <w:pPr>
        <w:ind w:left="5040"/>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7" w:tplc="FB966DA4">
      <w:start w:val="1"/>
      <w:numFmt w:val="bullet"/>
      <w:lvlText w:val="o"/>
      <w:lvlJc w:val="left"/>
      <w:pPr>
        <w:ind w:left="576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8" w:tplc="843A230C">
      <w:start w:val="1"/>
      <w:numFmt w:val="bullet"/>
      <w:lvlText w:val="▪"/>
      <w:lvlJc w:val="left"/>
      <w:pPr>
        <w:ind w:left="648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57C"/>
    <w:rsid w:val="00AC757C"/>
    <w:rsid w:val="00EC7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C0FF"/>
  <w15:docId w15:val="{198B8D3A-BEF1-4ACB-BD5B-230299A2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5" w:line="288" w:lineRule="auto"/>
      <w:ind w:left="226" w:right="1" w:hanging="226"/>
    </w:pPr>
    <w:rPr>
      <w:rFonts w:ascii="Cambria" w:eastAsia="Cambria" w:hAnsi="Cambria" w:cs="Cambria"/>
      <w:color w:val="404040"/>
      <w:sz w:val="20"/>
    </w:rPr>
  </w:style>
  <w:style w:type="paragraph" w:styleId="Heading1">
    <w:name w:val="heading 1"/>
    <w:next w:val="Normal"/>
    <w:link w:val="Heading1Char"/>
    <w:uiPriority w:val="9"/>
    <w:unhideWhenUsed/>
    <w:qFormat/>
    <w:pPr>
      <w:keepNext/>
      <w:keepLines/>
      <w:spacing w:after="0"/>
      <w:ind w:left="10" w:hanging="10"/>
      <w:outlineLvl w:val="0"/>
    </w:pPr>
    <w:rPr>
      <w:rFonts w:ascii="Cambria" w:eastAsia="Cambria" w:hAnsi="Cambria" w:cs="Cambria"/>
      <w:b/>
      <w:color w:val="2A7B88"/>
      <w:sz w:val="28"/>
      <w:u w:val="single" w:color="2A7B88"/>
      <w:shd w:val="clear" w:color="auto" w:fill="D3D3D3"/>
    </w:rPr>
  </w:style>
  <w:style w:type="paragraph" w:styleId="Heading2">
    <w:name w:val="heading 2"/>
    <w:next w:val="Normal"/>
    <w:link w:val="Heading2Char"/>
    <w:uiPriority w:val="9"/>
    <w:unhideWhenUsed/>
    <w:qFormat/>
    <w:pPr>
      <w:keepNext/>
      <w:keepLines/>
      <w:spacing w:after="202"/>
      <w:ind w:left="10" w:hanging="10"/>
      <w:outlineLvl w:val="1"/>
    </w:pPr>
    <w:rPr>
      <w:rFonts w:ascii="Cambria" w:eastAsia="Cambria" w:hAnsi="Cambria" w:cs="Cambria"/>
      <w:b/>
      <w:color w:val="404040"/>
      <w:sz w:val="24"/>
      <w:u w:val="single" w:color="404040"/>
      <w:shd w:val="clear" w:color="auto" w:fill="FFFF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404040"/>
      <w:sz w:val="24"/>
      <w:u w:val="single" w:color="404040"/>
      <w:shd w:val="clear" w:color="auto" w:fill="FFFF00"/>
    </w:rPr>
  </w:style>
  <w:style w:type="character" w:customStyle="1" w:styleId="Heading1Char">
    <w:name w:val="Heading 1 Char"/>
    <w:link w:val="Heading1"/>
    <w:rPr>
      <w:rFonts w:ascii="Cambria" w:eastAsia="Cambria" w:hAnsi="Cambria" w:cs="Cambria"/>
      <w:b/>
      <w:color w:val="2A7B88"/>
      <w:sz w:val="28"/>
      <w:u w:val="single" w:color="2A7B88"/>
      <w:shd w:val="clear" w:color="auto" w:fill="D3D3D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49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3</cp:revision>
  <cp:lastPrinted>2026-09-15T07:08:00Z</cp:lastPrinted>
  <dcterms:created xsi:type="dcterms:W3CDTF">2026-09-15T07:09:00Z</dcterms:created>
  <dcterms:modified xsi:type="dcterms:W3CDTF">2026-09-15T07:09:00Z</dcterms:modified>
</cp:coreProperties>
</file>