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Retail Sales and Customer Analytics</w:t>
      </w:r>
    </w:p>
    <w:p>
      <w:pPr>
        <w:spacing w:before="120"/>
      </w:pPr>
      <w:r>
        <w:rPr>
          <w:color w:val="414141"/>
          <w:sz w:val="30"/>
        </w:rPr>
        <w:t>Project guide for SQL analysis Power BI reporting and interview preparation</w:t>
      </w:r>
    </w:p>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blHeader w:val="true"/>
        </w:trPr>
        <w:tc>
          <w:tcPr>
            <w:tcW w:type="dxa" w:w="2232"/>
            <w:tcMar>
              <w:top w:w="100" w:type="dxa"/>
              <w:start w:w="110" w:type="dxa"/>
              <w:bottom w:w="100" w:type="dxa"/>
              <w:end w:w="110" w:type="dxa"/>
            </w:tcMar>
            <w:vAlign w:val="center"/>
            <w:shd w:fill="1F4E78"/>
          </w:tcPr>
          <w:p>
            <w:pPr>
              <w:spacing w:after="0" w:line="240" w:lineRule="auto"/>
            </w:pPr>
            <w:r>
              <w:rPr>
                <w:rFonts w:ascii="Aptos" w:hAnsi="Aptos"/>
                <w:b/>
                <w:color w:val="FFFFFF"/>
                <w:sz w:val="18"/>
              </w:rPr>
              <w:t>Project item</w:t>
            </w:r>
          </w:p>
        </w:tc>
        <w:tc>
          <w:tcPr>
            <w:tcW w:type="dxa" w:w="7560"/>
            <w:tcMar>
              <w:top w:w="100" w:type="dxa"/>
              <w:start w:w="110" w:type="dxa"/>
              <w:bottom w:w="100" w:type="dxa"/>
              <w:end w:w="110" w:type="dxa"/>
            </w:tcMar>
            <w:vAlign w:val="center"/>
            <w:shd w:fill="1F4E78"/>
          </w:tcPr>
          <w:p>
            <w:pPr>
              <w:spacing w:after="0" w:line="240" w:lineRule="auto"/>
            </w:pPr>
            <w:r>
              <w:rPr>
                <w:rFonts w:ascii="Aptos" w:hAnsi="Aptos"/>
                <w:b/>
                <w:color w:val="FFFFFF"/>
                <w:sz w:val="18"/>
              </w:rPr>
              <w:t>Details</w:t>
            </w:r>
          </w:p>
        </w:tc>
      </w:tr>
      <w:tr>
        <w:trPr>
          <w:cantSplit/>
        </w:trPr>
        <w:tc>
          <w:tcPr>
            <w:tcW w:type="dxa" w:w="2232"/>
            <w:tcMar>
              <w:top w:w="100" w:type="dxa"/>
              <w:start w:w="110" w:type="dxa"/>
              <w:bottom w:w="100" w:type="dxa"/>
              <w:end w:w="110" w:type="dxa"/>
            </w:tcMar>
            <w:vAlign w:val="center"/>
          </w:tcPr>
          <w:p>
            <w:pPr>
              <w:spacing w:after="0" w:line="240" w:lineRule="auto"/>
            </w:pPr>
            <w:r>
              <w:rPr>
                <w:rFonts w:ascii="Aptos" w:hAnsi="Aptos"/>
                <w:sz w:val="18"/>
              </w:rPr>
              <w:t>Dataset</w:t>
            </w:r>
          </w:p>
        </w:tc>
        <w:tc>
          <w:tcPr>
            <w:tcW w:type="dxa" w:w="7560"/>
            <w:tcMar>
              <w:top w:w="100" w:type="dxa"/>
              <w:start w:w="110" w:type="dxa"/>
              <w:bottom w:w="100" w:type="dxa"/>
              <w:end w:w="110" w:type="dxa"/>
            </w:tcMar>
            <w:vAlign w:val="center"/>
          </w:tcPr>
          <w:p>
            <w:pPr>
              <w:spacing w:after="0" w:line="240" w:lineRule="auto"/>
            </w:pPr>
            <w:r>
              <w:rPr>
                <w:rFonts w:ascii="Aptos" w:hAnsi="Aptos"/>
                <w:sz w:val="18"/>
              </w:rPr>
              <w:t>UCI Online Retail II</w:t>
            </w:r>
          </w:p>
        </w:tc>
      </w:tr>
      <w:tr>
        <w:trPr>
          <w:cantSplit/>
        </w:trPr>
        <w:tc>
          <w:tcPr>
            <w:tcW w:type="dxa" w:w="2232"/>
            <w:tcMar>
              <w:top w:w="100" w:type="dxa"/>
              <w:start w:w="110" w:type="dxa"/>
              <w:bottom w:w="100" w:type="dxa"/>
              <w:end w:w="110" w:type="dxa"/>
            </w:tcMar>
            <w:vAlign w:val="center"/>
            <w:shd w:fill="EAF2F8"/>
          </w:tcPr>
          <w:p>
            <w:pPr>
              <w:spacing w:after="0" w:line="240" w:lineRule="auto"/>
            </w:pPr>
            <w:r>
              <w:rPr>
                <w:rFonts w:ascii="Aptos" w:hAnsi="Aptos"/>
                <w:sz w:val="18"/>
              </w:rPr>
              <w:t>Period</w:t>
            </w:r>
          </w:p>
        </w:tc>
        <w:tc>
          <w:tcPr>
            <w:tcW w:type="dxa" w:w="7560"/>
            <w:tcMar>
              <w:top w:w="100" w:type="dxa"/>
              <w:start w:w="110" w:type="dxa"/>
              <w:bottom w:w="100" w:type="dxa"/>
              <w:end w:w="110" w:type="dxa"/>
            </w:tcMar>
            <w:vAlign w:val="center"/>
            <w:shd w:fill="EAF2F8"/>
          </w:tcPr>
          <w:p>
            <w:pPr>
              <w:spacing w:after="0" w:line="240" w:lineRule="auto"/>
            </w:pPr>
            <w:r>
              <w:rPr>
                <w:rFonts w:ascii="Aptos" w:hAnsi="Aptos"/>
                <w:sz w:val="18"/>
              </w:rPr>
              <w:t>1 December 2009 to 9 December 2011</w:t>
            </w:r>
          </w:p>
        </w:tc>
      </w:tr>
      <w:tr>
        <w:trPr>
          <w:cantSplit/>
        </w:trPr>
        <w:tc>
          <w:tcPr>
            <w:tcW w:type="dxa" w:w="2232"/>
            <w:tcMar>
              <w:top w:w="100" w:type="dxa"/>
              <w:start w:w="110" w:type="dxa"/>
              <w:bottom w:w="100" w:type="dxa"/>
              <w:end w:w="110" w:type="dxa"/>
            </w:tcMar>
            <w:vAlign w:val="center"/>
          </w:tcPr>
          <w:p>
            <w:pPr>
              <w:spacing w:after="0" w:line="240" w:lineRule="auto"/>
            </w:pPr>
            <w:r>
              <w:rPr>
                <w:rFonts w:ascii="Aptos" w:hAnsi="Aptos"/>
                <w:sz w:val="18"/>
              </w:rPr>
              <w:t>Tools</w:t>
            </w:r>
          </w:p>
        </w:tc>
        <w:tc>
          <w:tcPr>
            <w:tcW w:type="dxa" w:w="7560"/>
            <w:tcMar>
              <w:top w:w="100" w:type="dxa"/>
              <w:start w:w="110" w:type="dxa"/>
              <w:bottom w:w="100" w:type="dxa"/>
              <w:end w:w="110" w:type="dxa"/>
            </w:tcMar>
            <w:vAlign w:val="center"/>
          </w:tcPr>
          <w:p>
            <w:pPr>
              <w:spacing w:after="0" w:line="240" w:lineRule="auto"/>
            </w:pPr>
            <w:r>
              <w:rPr>
                <w:rFonts w:ascii="Aptos" w:hAnsi="Aptos"/>
                <w:sz w:val="18"/>
              </w:rPr>
              <w:t>MariaDB 10.4 through MySQL Workbench and Power BI Desktop</w:t>
            </w:r>
          </w:p>
        </w:tc>
      </w:tr>
      <w:tr>
        <w:trPr>
          <w:cantSplit/>
        </w:trPr>
        <w:tc>
          <w:tcPr>
            <w:tcW w:type="dxa" w:w="2232"/>
            <w:tcMar>
              <w:top w:w="100" w:type="dxa"/>
              <w:start w:w="110" w:type="dxa"/>
              <w:bottom w:w="100" w:type="dxa"/>
              <w:end w:w="110" w:type="dxa"/>
            </w:tcMar>
            <w:vAlign w:val="center"/>
            <w:shd w:fill="EAF2F8"/>
          </w:tcPr>
          <w:p>
            <w:pPr>
              <w:spacing w:after="0" w:line="240" w:lineRule="auto"/>
            </w:pPr>
            <w:r>
              <w:rPr>
                <w:rFonts w:ascii="Aptos" w:hAnsi="Aptos"/>
                <w:sz w:val="18"/>
              </w:rPr>
              <w:t>Scale</w:t>
            </w:r>
          </w:p>
        </w:tc>
        <w:tc>
          <w:tcPr>
            <w:tcW w:type="dxa" w:w="7560"/>
            <w:tcMar>
              <w:top w:w="100" w:type="dxa"/>
              <w:start w:w="110" w:type="dxa"/>
              <w:bottom w:w="100" w:type="dxa"/>
              <w:end w:w="110" w:type="dxa"/>
            </w:tcMar>
            <w:vAlign w:val="center"/>
            <w:shd w:fill="EAF2F8"/>
          </w:tcPr>
          <w:p>
            <w:pPr>
              <w:spacing w:after="0" w:line="240" w:lineRule="auto"/>
            </w:pPr>
            <w:r>
              <w:rPr>
                <w:rFonts w:ascii="Aptos" w:hAnsi="Aptos"/>
                <w:sz w:val="18"/>
              </w:rPr>
              <w:t>1,067,371 source invoice lines</w:t>
            </w:r>
          </w:p>
        </w:tc>
      </w:tr>
      <w:tr>
        <w:trPr>
          <w:cantSplit/>
        </w:trPr>
        <w:tc>
          <w:tcPr>
            <w:tcW w:type="dxa" w:w="2232"/>
            <w:tcMar>
              <w:top w:w="100" w:type="dxa"/>
              <w:start w:w="110" w:type="dxa"/>
              <w:bottom w:w="100" w:type="dxa"/>
              <w:end w:w="110" w:type="dxa"/>
            </w:tcMar>
            <w:vAlign w:val="center"/>
          </w:tcPr>
          <w:p>
            <w:pPr>
              <w:spacing w:after="0" w:line="240" w:lineRule="auto"/>
            </w:pPr>
            <w:r>
              <w:rPr>
                <w:rFonts w:ascii="Aptos" w:hAnsi="Aptos"/>
                <w:sz w:val="18"/>
              </w:rPr>
              <w:t>Dashboard</w:t>
            </w:r>
          </w:p>
        </w:tc>
        <w:tc>
          <w:tcPr>
            <w:tcW w:type="dxa" w:w="7560"/>
            <w:tcMar>
              <w:top w:w="100" w:type="dxa"/>
              <w:start w:w="110" w:type="dxa"/>
              <w:bottom w:w="100" w:type="dxa"/>
              <w:end w:w="110" w:type="dxa"/>
            </w:tcMar>
            <w:vAlign w:val="center"/>
          </w:tcPr>
          <w:p>
            <w:pPr>
              <w:spacing w:after="0" w:line="240" w:lineRule="auto"/>
            </w:pPr>
            <w:r>
              <w:rPr>
                <w:rFonts w:ascii="Aptos" w:hAnsi="Aptos"/>
                <w:sz w:val="18"/>
              </w:rPr>
              <w:t>Sales Overview Country Analysis Product Analysis Customer Analysis</w:t>
            </w:r>
          </w:p>
        </w:tc>
      </w:tr>
    </w:tbl>
    <w:p>
      <w:pPr>
        <w:spacing w:after="0"/>
      </w:pPr>
    </w:p>
    <w:p>
      <w:pPr>
        <w:pStyle w:val="Heading1"/>
      </w:pPr>
      <w:r>
        <w:t>What this guide provides</w:t>
      </w:r>
    </w:p>
    <w:p>
      <w:r>
        <w:t>This guide documents the completed portfolio project from source data through the final dashboard. It explains the cleaning rules, KPI formulas, SQL views, Power BI pages, business findings and limitations. It also provides resume wording and interview answers so the work can be explained accurately.</w:t>
      </w:r>
    </w:p>
    <w:p>
      <w:r>
        <w:t>The main result is a reconciled merchandise analysis with gross sales of £20.11 million, product credits of £0.73 million and net sales of £19.38 million. Customer RFM analysis covers 5,852 identified purchasers.</w:t>
      </w:r>
    </w:p>
    <w:p>
      <w:r>
        <w:br w:type="page"/>
      </w:r>
    </w:p>
    <w:p>
      <w:pPr>
        <w:pStyle w:val="Heading1"/>
      </w:pPr>
      <w:r>
        <w:t>Project objective and scope</w:t>
      </w:r>
    </w:p>
    <w:p>
      <w:r>
        <w:t>The objective was to turn a large, imperfect retail transaction workbook into a reproducible analytics project. The work retains the raw records, separates merchandise from operational charges, accounts for cancellation credits, summarizes performance by month, country and product, and segments identified customers using recency, frequency and monetary value.</w:t>
      </w:r>
    </w:p>
    <w:p>
      <w:pPr>
        <w:pStyle w:val="ListBullet"/>
      </w:pPr>
      <w:r>
        <w:t>Preserve source rows and provenance instead of deleting uncertain records.</w:t>
      </w:r>
    </w:p>
    <w:p>
      <w:pPr>
        <w:pStyle w:val="ListBullet"/>
      </w:pPr>
      <w:r>
        <w:t>Create transparent SQL views for each business rule.</w:t>
      </w:r>
    </w:p>
    <w:p>
      <w:pPr>
        <w:pStyle w:val="ListBullet"/>
      </w:pPr>
      <w:r>
        <w:t>Reconcile gross sales, credits and net sales before visualization.</w:t>
      </w:r>
    </w:p>
    <w:p>
      <w:pPr>
        <w:pStyle w:val="ListBullet"/>
      </w:pPr>
      <w:r>
        <w:t>Build four focused Power BI pages with different visual types.</w:t>
      </w:r>
    </w:p>
    <w:p>
      <w:pPr>
        <w:pStyle w:val="ListBullet"/>
      </w:pPr>
      <w:r>
        <w:t>State data limitations clearly, especially missing customer IDs and the partial final month.</w:t>
      </w:r>
    </w:p>
    <w:p>
      <w:pPr>
        <w:pStyle w:val="Heading1"/>
      </w:pPr>
      <w:r>
        <w:t>Dataset structure</w:t>
      </w:r>
    </w:p>
    <w:p>
      <w:r>
        <w:t>One source row represents one invoice line. An invoice may contain several products, so invoice number is not unique at row level. Customer IDs are stored as text because they are identifiers rather than quantities.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1944"/>
            <w:tcMar>
              <w:top w:w="100" w:type="dxa"/>
              <w:start w:w="110" w:type="dxa"/>
              <w:bottom w:w="100" w:type="dxa"/>
              <w:end w:w="110" w:type="dxa"/>
            </w:tcMar>
            <w:vAlign w:val="center"/>
            <w:shd w:fill="1F4E78"/>
          </w:tcPr>
          <w:p>
            <w:pPr>
              <w:spacing w:after="0" w:line="240" w:lineRule="auto"/>
            </w:pPr>
            <w:r>
              <w:rPr>
                <w:rFonts w:ascii="Aptos" w:hAnsi="Aptos"/>
                <w:b/>
                <w:color w:val="FFFFFF"/>
                <w:sz w:val="18"/>
              </w:rPr>
              <w:t>Column</w:t>
            </w:r>
          </w:p>
        </w:tc>
        <w:tc>
          <w:tcPr>
            <w:tcW w:type="dxa" w:w="1944"/>
            <w:tcMar>
              <w:top w:w="100" w:type="dxa"/>
              <w:start w:w="110" w:type="dxa"/>
              <w:bottom w:w="100" w:type="dxa"/>
              <w:end w:w="110" w:type="dxa"/>
            </w:tcMar>
            <w:vAlign w:val="center"/>
            <w:shd w:fill="1F4E78"/>
          </w:tcPr>
          <w:p>
            <w:pPr>
              <w:spacing w:after="0" w:line="240" w:lineRule="auto"/>
            </w:pPr>
            <w:r>
              <w:rPr>
                <w:rFonts w:ascii="Aptos" w:hAnsi="Aptos"/>
                <w:b/>
                <w:color w:val="FFFFFF"/>
                <w:sz w:val="18"/>
              </w:rPr>
              <w:t>Table</w:t>
            </w:r>
          </w:p>
        </w:tc>
        <w:tc>
          <w:tcPr>
            <w:tcW w:type="dxa" w:w="5904"/>
            <w:tcMar>
              <w:top w:w="100" w:type="dxa"/>
              <w:start w:w="110" w:type="dxa"/>
              <w:bottom w:w="100" w:type="dxa"/>
              <w:end w:w="110" w:type="dxa"/>
            </w:tcMar>
            <w:vAlign w:val="center"/>
            <w:shd w:fill="1F4E78"/>
          </w:tcPr>
          <w:p>
            <w:pPr>
              <w:spacing w:after="0" w:line="240" w:lineRule="auto"/>
            </w:pPr>
            <w:r>
              <w:rPr>
                <w:rFonts w:ascii="Aptos" w:hAnsi="Aptos"/>
                <w:b/>
                <w:color w:val="FFFFFF"/>
                <w:sz w:val="18"/>
              </w:rPr>
              <w:t>Meaning</w:t>
            </w:r>
          </w:p>
        </w:tc>
      </w:tr>
      <w:tr>
        <w:trPr>
          <w:cantSplit/>
        </w:trPr>
        <w:tc>
          <w:tcPr>
            <w:tcW w:type="dxa" w:w="1944"/>
            <w:tcMar>
              <w:top w:w="100" w:type="dxa"/>
              <w:start w:w="110" w:type="dxa"/>
              <w:bottom w:w="100" w:type="dxa"/>
              <w:end w:w="110" w:type="dxa"/>
            </w:tcMar>
            <w:vAlign w:val="center"/>
          </w:tcPr>
          <w:p>
            <w:pPr>
              <w:spacing w:after="0" w:line="240" w:lineRule="auto"/>
            </w:pPr>
            <w:r>
              <w:rPr>
                <w:rFonts w:ascii="Aptos" w:hAnsi="Aptos"/>
                <w:sz w:val="18"/>
              </w:rPr>
              <w:t>line_id</w:t>
            </w:r>
          </w:p>
        </w:tc>
        <w:tc>
          <w:tcPr>
            <w:tcW w:type="dxa" w:w="1944"/>
            <w:tcMar>
              <w:top w:w="100" w:type="dxa"/>
              <w:start w:w="110" w:type="dxa"/>
              <w:bottom w:w="100" w:type="dxa"/>
              <w:end w:w="110" w:type="dxa"/>
            </w:tcMar>
            <w:vAlign w:val="center"/>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tcPr>
          <w:p>
            <w:pPr>
              <w:spacing w:after="0" w:line="240" w:lineRule="auto"/>
            </w:pPr>
            <w:r>
              <w:rPr>
                <w:rFonts w:ascii="Aptos" w:hAnsi="Aptos"/>
                <w:sz w:val="18"/>
              </w:rPr>
              <w:t>Generated unique row key used by MariaDB</w:t>
            </w:r>
          </w:p>
        </w:tc>
      </w:tr>
      <w:tr>
        <w:trPr>
          <w:cantSplit/>
        </w:trPr>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source_sheet</w:t>
            </w:r>
          </w:p>
        </w:tc>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shd w:fill="EAF2F8"/>
          </w:tcPr>
          <w:p>
            <w:pPr>
              <w:spacing w:after="0" w:line="240" w:lineRule="auto"/>
            </w:pPr>
            <w:r>
              <w:rPr>
                <w:rFonts w:ascii="Aptos" w:hAnsi="Aptos"/>
                <w:sz w:val="18"/>
              </w:rPr>
              <w:t>Original workbook sheet name</w:t>
            </w:r>
          </w:p>
        </w:tc>
      </w:tr>
      <w:tr>
        <w:trPr>
          <w:cantSplit/>
        </w:trPr>
        <w:tc>
          <w:tcPr>
            <w:tcW w:type="dxa" w:w="1944"/>
            <w:tcMar>
              <w:top w:w="100" w:type="dxa"/>
              <w:start w:w="110" w:type="dxa"/>
              <w:bottom w:w="100" w:type="dxa"/>
              <w:end w:w="110" w:type="dxa"/>
            </w:tcMar>
            <w:vAlign w:val="center"/>
          </w:tcPr>
          <w:p>
            <w:pPr>
              <w:spacing w:after="0" w:line="240" w:lineRule="auto"/>
            </w:pPr>
            <w:r>
              <w:rPr>
                <w:rFonts w:ascii="Aptos" w:hAnsi="Aptos"/>
                <w:sz w:val="18"/>
              </w:rPr>
              <w:t>source_row</w:t>
            </w:r>
          </w:p>
        </w:tc>
        <w:tc>
          <w:tcPr>
            <w:tcW w:type="dxa" w:w="1944"/>
            <w:tcMar>
              <w:top w:w="100" w:type="dxa"/>
              <w:start w:w="110" w:type="dxa"/>
              <w:bottom w:w="100" w:type="dxa"/>
              <w:end w:w="110" w:type="dxa"/>
            </w:tcMar>
            <w:vAlign w:val="center"/>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tcPr>
          <w:p>
            <w:pPr>
              <w:spacing w:after="0" w:line="240" w:lineRule="auto"/>
            </w:pPr>
            <w:r>
              <w:rPr>
                <w:rFonts w:ascii="Aptos" w:hAnsi="Aptos"/>
                <w:sz w:val="18"/>
              </w:rPr>
              <w:t>Original Excel row number</w:t>
            </w:r>
          </w:p>
        </w:tc>
      </w:tr>
      <w:tr>
        <w:trPr>
          <w:cantSplit/>
        </w:trPr>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invoice_no</w:t>
            </w:r>
          </w:p>
        </w:tc>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shd w:fill="EAF2F8"/>
          </w:tcPr>
          <w:p>
            <w:pPr>
              <w:spacing w:after="0" w:line="240" w:lineRule="auto"/>
            </w:pPr>
            <w:r>
              <w:rPr>
                <w:rFonts w:ascii="Aptos" w:hAnsi="Aptos"/>
                <w:sz w:val="18"/>
              </w:rPr>
              <w:t>Invoice identifier; values starting with C are cancellations</w:t>
            </w:r>
          </w:p>
        </w:tc>
      </w:tr>
      <w:tr>
        <w:trPr>
          <w:cantSplit/>
        </w:trPr>
        <w:tc>
          <w:tcPr>
            <w:tcW w:type="dxa" w:w="1944"/>
            <w:tcMar>
              <w:top w:w="100" w:type="dxa"/>
              <w:start w:w="110" w:type="dxa"/>
              <w:bottom w:w="100" w:type="dxa"/>
              <w:end w:w="110" w:type="dxa"/>
            </w:tcMar>
            <w:vAlign w:val="center"/>
          </w:tcPr>
          <w:p>
            <w:pPr>
              <w:spacing w:after="0" w:line="240" w:lineRule="auto"/>
            </w:pPr>
            <w:r>
              <w:rPr>
                <w:rFonts w:ascii="Aptos" w:hAnsi="Aptos"/>
                <w:sz w:val="18"/>
              </w:rPr>
              <w:t>stock_code</w:t>
            </w:r>
          </w:p>
        </w:tc>
        <w:tc>
          <w:tcPr>
            <w:tcW w:type="dxa" w:w="1944"/>
            <w:tcMar>
              <w:top w:w="100" w:type="dxa"/>
              <w:start w:w="110" w:type="dxa"/>
              <w:bottom w:w="100" w:type="dxa"/>
              <w:end w:w="110" w:type="dxa"/>
            </w:tcMar>
            <w:vAlign w:val="center"/>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tcPr>
          <w:p>
            <w:pPr>
              <w:spacing w:after="0" w:line="240" w:lineRule="auto"/>
            </w:pPr>
            <w:r>
              <w:rPr>
                <w:rFonts w:ascii="Aptos" w:hAnsi="Aptos"/>
                <w:sz w:val="18"/>
              </w:rPr>
              <w:t>Product or operational line code</w:t>
            </w:r>
          </w:p>
        </w:tc>
      </w:tr>
      <w:tr>
        <w:trPr>
          <w:cantSplit/>
        </w:trPr>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description</w:t>
            </w:r>
          </w:p>
        </w:tc>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shd w:fill="EAF2F8"/>
          </w:tcPr>
          <w:p>
            <w:pPr>
              <w:spacing w:after="0" w:line="240" w:lineRule="auto"/>
            </w:pPr>
            <w:r>
              <w:rPr>
                <w:rFonts w:ascii="Aptos" w:hAnsi="Aptos"/>
                <w:sz w:val="18"/>
              </w:rPr>
              <w:t>Product or line-item description; can be missing</w:t>
            </w:r>
          </w:p>
        </w:tc>
      </w:tr>
      <w:tr>
        <w:trPr>
          <w:cantSplit/>
        </w:trPr>
        <w:tc>
          <w:tcPr>
            <w:tcW w:type="dxa" w:w="1944"/>
            <w:tcMar>
              <w:top w:w="100" w:type="dxa"/>
              <w:start w:w="110" w:type="dxa"/>
              <w:bottom w:w="100" w:type="dxa"/>
              <w:end w:w="110" w:type="dxa"/>
            </w:tcMar>
            <w:vAlign w:val="center"/>
          </w:tcPr>
          <w:p>
            <w:pPr>
              <w:spacing w:after="0" w:line="240" w:lineRule="auto"/>
            </w:pPr>
            <w:r>
              <w:rPr>
                <w:rFonts w:ascii="Aptos" w:hAnsi="Aptos"/>
                <w:sz w:val="18"/>
              </w:rPr>
              <w:t>quantity</w:t>
            </w:r>
          </w:p>
        </w:tc>
        <w:tc>
          <w:tcPr>
            <w:tcW w:type="dxa" w:w="1944"/>
            <w:tcMar>
              <w:top w:w="100" w:type="dxa"/>
              <w:start w:w="110" w:type="dxa"/>
              <w:bottom w:w="100" w:type="dxa"/>
              <w:end w:w="110" w:type="dxa"/>
            </w:tcMar>
            <w:vAlign w:val="center"/>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tcPr>
          <w:p>
            <w:pPr>
              <w:spacing w:after="0" w:line="240" w:lineRule="auto"/>
            </w:pPr>
            <w:r>
              <w:rPr>
                <w:rFonts w:ascii="Aptos" w:hAnsi="Aptos"/>
                <w:sz w:val="18"/>
              </w:rPr>
              <w:t>Signed number of units</w:t>
            </w:r>
          </w:p>
        </w:tc>
      </w:tr>
      <w:tr>
        <w:trPr>
          <w:cantSplit/>
        </w:trPr>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invoice_date</w:t>
            </w:r>
          </w:p>
        </w:tc>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shd w:fill="EAF2F8"/>
          </w:tcPr>
          <w:p>
            <w:pPr>
              <w:spacing w:after="0" w:line="240" w:lineRule="auto"/>
            </w:pPr>
            <w:r>
              <w:rPr>
                <w:rFonts w:ascii="Aptos" w:hAnsi="Aptos"/>
                <w:sz w:val="18"/>
              </w:rPr>
              <w:t>Transaction timestamp</w:t>
            </w:r>
          </w:p>
        </w:tc>
      </w:tr>
      <w:tr>
        <w:trPr>
          <w:cantSplit/>
        </w:trPr>
        <w:tc>
          <w:tcPr>
            <w:tcW w:type="dxa" w:w="1944"/>
            <w:tcMar>
              <w:top w:w="100" w:type="dxa"/>
              <w:start w:w="110" w:type="dxa"/>
              <w:bottom w:w="100" w:type="dxa"/>
              <w:end w:w="110" w:type="dxa"/>
            </w:tcMar>
            <w:vAlign w:val="center"/>
          </w:tcPr>
          <w:p>
            <w:pPr>
              <w:spacing w:after="0" w:line="240" w:lineRule="auto"/>
            </w:pPr>
            <w:r>
              <w:rPr>
                <w:rFonts w:ascii="Aptos" w:hAnsi="Aptos"/>
                <w:sz w:val="18"/>
              </w:rPr>
              <w:t>unit_price</w:t>
            </w:r>
          </w:p>
        </w:tc>
        <w:tc>
          <w:tcPr>
            <w:tcW w:type="dxa" w:w="1944"/>
            <w:tcMar>
              <w:top w:w="100" w:type="dxa"/>
              <w:start w:w="110" w:type="dxa"/>
              <w:bottom w:w="100" w:type="dxa"/>
              <w:end w:w="110" w:type="dxa"/>
            </w:tcMar>
            <w:vAlign w:val="center"/>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tcPr>
          <w:p>
            <w:pPr>
              <w:spacing w:after="0" w:line="240" w:lineRule="auto"/>
            </w:pPr>
            <w:r>
              <w:rPr>
                <w:rFonts w:ascii="Aptos" w:hAnsi="Aptos"/>
                <w:sz w:val="18"/>
              </w:rPr>
              <w:t>Price per unit in GBP</w:t>
            </w:r>
          </w:p>
        </w:tc>
      </w:tr>
      <w:tr>
        <w:trPr>
          <w:cantSplit/>
        </w:trPr>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customer_id</w:t>
            </w:r>
          </w:p>
        </w:tc>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shd w:fill="EAF2F8"/>
          </w:tcPr>
          <w:p>
            <w:pPr>
              <w:spacing w:after="0" w:line="240" w:lineRule="auto"/>
            </w:pPr>
            <w:r>
              <w:rPr>
                <w:rFonts w:ascii="Aptos" w:hAnsi="Aptos"/>
                <w:sz w:val="18"/>
              </w:rPr>
              <w:t>Customer identifier; can be missing</w:t>
            </w:r>
          </w:p>
        </w:tc>
      </w:tr>
      <w:tr>
        <w:trPr>
          <w:cantSplit/>
        </w:trPr>
        <w:tc>
          <w:tcPr>
            <w:tcW w:type="dxa" w:w="1944"/>
            <w:tcMar>
              <w:top w:w="100" w:type="dxa"/>
              <w:start w:w="110" w:type="dxa"/>
              <w:bottom w:w="100" w:type="dxa"/>
              <w:end w:w="110" w:type="dxa"/>
            </w:tcMar>
            <w:vAlign w:val="center"/>
          </w:tcPr>
          <w:p>
            <w:pPr>
              <w:spacing w:after="0" w:line="240" w:lineRule="auto"/>
            </w:pPr>
            <w:r>
              <w:rPr>
                <w:rFonts w:ascii="Aptos" w:hAnsi="Aptos"/>
                <w:sz w:val="18"/>
              </w:rPr>
              <w:t>country</w:t>
            </w:r>
          </w:p>
        </w:tc>
        <w:tc>
          <w:tcPr>
            <w:tcW w:type="dxa" w:w="1944"/>
            <w:tcMar>
              <w:top w:w="100" w:type="dxa"/>
              <w:start w:w="110" w:type="dxa"/>
              <w:bottom w:w="100" w:type="dxa"/>
              <w:end w:w="110" w:type="dxa"/>
            </w:tcMar>
            <w:vAlign w:val="center"/>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tcPr>
          <w:p>
            <w:pPr>
              <w:spacing w:after="0" w:line="240" w:lineRule="auto"/>
            </w:pPr>
            <w:r>
              <w:rPr>
                <w:rFonts w:ascii="Aptos" w:hAnsi="Aptos"/>
                <w:sz w:val="18"/>
              </w:rPr>
              <w:t>Recorded destination country</w:t>
            </w:r>
          </w:p>
        </w:tc>
      </w:tr>
      <w:tr>
        <w:trPr>
          <w:cantSplit/>
        </w:trPr>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is_cancellation</w:t>
            </w:r>
          </w:p>
        </w:tc>
        <w:tc>
          <w:tcPr>
            <w:tcW w:type="dxa" w:w="1944"/>
            <w:tcMar>
              <w:top w:w="100" w:type="dxa"/>
              <w:start w:w="110" w:type="dxa"/>
              <w:bottom w:w="100" w:type="dxa"/>
              <w:end w:w="110" w:type="dxa"/>
            </w:tcMar>
            <w:vAlign w:val="center"/>
            <w:shd w:fill="EAF2F8"/>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shd w:fill="EAF2F8"/>
          </w:tcPr>
          <w:p>
            <w:pPr>
              <w:spacing w:after="0" w:line="240" w:lineRule="auto"/>
            </w:pPr>
            <w:r>
              <w:rPr>
                <w:rFonts w:ascii="Aptos" w:hAnsi="Aptos"/>
                <w:sz w:val="18"/>
              </w:rPr>
              <w:t>Flag derived from cancellation invoice numbering</w:t>
            </w:r>
          </w:p>
        </w:tc>
      </w:tr>
      <w:tr>
        <w:trPr>
          <w:cantSplit/>
        </w:trPr>
        <w:tc>
          <w:tcPr>
            <w:tcW w:type="dxa" w:w="1944"/>
            <w:tcMar>
              <w:top w:w="100" w:type="dxa"/>
              <w:start w:w="110" w:type="dxa"/>
              <w:bottom w:w="100" w:type="dxa"/>
              <w:end w:w="110" w:type="dxa"/>
            </w:tcMar>
            <w:vAlign w:val="center"/>
          </w:tcPr>
          <w:p>
            <w:pPr>
              <w:spacing w:after="0" w:line="240" w:lineRule="auto"/>
            </w:pPr>
            <w:r>
              <w:rPr>
                <w:rFonts w:ascii="Aptos" w:hAnsi="Aptos"/>
                <w:sz w:val="18"/>
              </w:rPr>
              <w:t>is_exact_repeat</w:t>
            </w:r>
          </w:p>
        </w:tc>
        <w:tc>
          <w:tcPr>
            <w:tcW w:type="dxa" w:w="1944"/>
            <w:tcMar>
              <w:top w:w="100" w:type="dxa"/>
              <w:start w:w="110" w:type="dxa"/>
              <w:bottom w:w="100" w:type="dxa"/>
              <w:end w:w="110" w:type="dxa"/>
            </w:tcMar>
            <w:vAlign w:val="center"/>
          </w:tcPr>
          <w:p>
            <w:pPr>
              <w:spacing w:after="0" w:line="240" w:lineRule="auto"/>
            </w:pPr>
            <w:r>
              <w:rPr>
                <w:rFonts w:ascii="Aptos" w:hAnsi="Aptos"/>
                <w:sz w:val="18"/>
              </w:rPr>
              <w:t>retail_lines</w:t>
            </w:r>
          </w:p>
        </w:tc>
        <w:tc>
          <w:tcPr>
            <w:tcW w:type="dxa" w:w="5904"/>
            <w:tcMar>
              <w:top w:w="100" w:type="dxa"/>
              <w:start w:w="110" w:type="dxa"/>
              <w:bottom w:w="100" w:type="dxa"/>
              <w:end w:w="110" w:type="dxa"/>
            </w:tcMar>
            <w:vAlign w:val="center"/>
          </w:tcPr>
          <w:p>
            <w:pPr>
              <w:spacing w:after="0" w:line="240" w:lineRule="auto"/>
            </w:pPr>
            <w:r>
              <w:rPr>
                <w:rFonts w:ascii="Aptos" w:hAnsi="Aptos"/>
                <w:sz w:val="18"/>
              </w:rPr>
              <w:t>Flags later exact occurrences across the eight source fields</w:t>
            </w:r>
          </w:p>
        </w:tc>
      </w:tr>
    </w:tbl>
    <w:p>
      <w:pPr>
        <w:spacing w:after="0"/>
      </w:pPr>
    </w:p>
    <w:p>
      <w:r>
        <w:br w:type="page"/>
      </w:r>
    </w:p>
    <w:p>
      <w:pPr>
        <w:pStyle w:val="Heading1"/>
      </w:pPr>
      <w:r>
        <w:t>Data quality review and cleaning</w:t>
      </w:r>
    </w:p>
    <w:p>
      <w:r>
        <w:t>The project uses a layered approach. The raw table remains unchanged. Analysis views apply business rules without destroying source evidence, which makes the calculations auditable and easier to revise.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2592"/>
            <w:tcMar>
              <w:top w:w="100" w:type="dxa"/>
              <w:start w:w="110" w:type="dxa"/>
              <w:bottom w:w="100" w:type="dxa"/>
              <w:end w:w="110" w:type="dxa"/>
            </w:tcMar>
            <w:vAlign w:val="center"/>
            <w:shd w:fill="1F4E78"/>
          </w:tcPr>
          <w:p>
            <w:pPr>
              <w:spacing w:after="0" w:line="240" w:lineRule="auto"/>
            </w:pPr>
            <w:r>
              <w:rPr>
                <w:rFonts w:ascii="Aptos" w:hAnsi="Aptos"/>
                <w:b/>
                <w:color w:val="FFFFFF"/>
                <w:sz w:val="18"/>
              </w:rPr>
              <w:t>Check</w:t>
            </w:r>
          </w:p>
        </w:tc>
        <w:tc>
          <w:tcPr>
            <w:tcW w:type="dxa" w:w="1512"/>
            <w:tcMar>
              <w:top w:w="100" w:type="dxa"/>
              <w:start w:w="110" w:type="dxa"/>
              <w:bottom w:w="100" w:type="dxa"/>
              <w:end w:w="110" w:type="dxa"/>
            </w:tcMar>
            <w:vAlign w:val="center"/>
            <w:shd w:fill="1F4E78"/>
          </w:tcPr>
          <w:p>
            <w:pPr>
              <w:spacing w:after="0" w:line="240" w:lineRule="auto"/>
            </w:pPr>
            <w:r>
              <w:rPr>
                <w:rFonts w:ascii="Aptos" w:hAnsi="Aptos"/>
                <w:b/>
                <w:color w:val="FFFFFF"/>
                <w:sz w:val="18"/>
              </w:rPr>
              <w:t>Rows</w:t>
            </w:r>
          </w:p>
        </w:tc>
        <w:tc>
          <w:tcPr>
            <w:tcW w:type="dxa" w:w="5760"/>
            <w:tcMar>
              <w:top w:w="100" w:type="dxa"/>
              <w:start w:w="110" w:type="dxa"/>
              <w:bottom w:w="100" w:type="dxa"/>
              <w:end w:w="110" w:type="dxa"/>
            </w:tcMar>
            <w:vAlign w:val="center"/>
            <w:shd w:fill="1F4E78"/>
          </w:tcPr>
          <w:p>
            <w:pPr>
              <w:spacing w:after="0" w:line="240" w:lineRule="auto"/>
            </w:pPr>
            <w:r>
              <w:rPr>
                <w:rFonts w:ascii="Aptos" w:hAnsi="Aptos"/>
                <w:b/>
                <w:color w:val="FFFFFF"/>
                <w:sz w:val="18"/>
              </w:rPr>
              <w:t>Treatment</w:t>
            </w:r>
          </w:p>
        </w:tc>
      </w:tr>
      <w:tr>
        <w:trPr>
          <w:cantSplit/>
        </w:trPr>
        <w:tc>
          <w:tcPr>
            <w:tcW w:type="dxa" w:w="2592"/>
            <w:tcMar>
              <w:top w:w="100" w:type="dxa"/>
              <w:start w:w="110" w:type="dxa"/>
              <w:bottom w:w="100" w:type="dxa"/>
              <w:end w:w="110" w:type="dxa"/>
            </w:tcMar>
            <w:vAlign w:val="center"/>
          </w:tcPr>
          <w:p>
            <w:pPr>
              <w:spacing w:after="0" w:line="240" w:lineRule="auto"/>
            </w:pPr>
            <w:r>
              <w:rPr>
                <w:rFonts w:ascii="Aptos" w:hAnsi="Aptos"/>
                <w:sz w:val="18"/>
              </w:rPr>
              <w:t>Source rows</w:t>
            </w:r>
          </w:p>
        </w:tc>
        <w:tc>
          <w:tcPr>
            <w:tcW w:type="dxa" w:w="1512"/>
            <w:tcMar>
              <w:top w:w="100" w:type="dxa"/>
              <w:start w:w="110" w:type="dxa"/>
              <w:bottom w:w="100" w:type="dxa"/>
              <w:end w:w="110" w:type="dxa"/>
            </w:tcMar>
            <w:vAlign w:val="center"/>
          </w:tcPr>
          <w:p>
            <w:pPr>
              <w:spacing w:after="0" w:line="240" w:lineRule="auto"/>
            </w:pPr>
            <w:r>
              <w:rPr>
                <w:rFonts w:ascii="Aptos" w:hAnsi="Aptos"/>
                <w:sz w:val="18"/>
              </w:rPr>
              <w:t>1,067,371</w:t>
            </w:r>
          </w:p>
        </w:tc>
        <w:tc>
          <w:tcPr>
            <w:tcW w:type="dxa" w:w="5760"/>
            <w:tcMar>
              <w:top w:w="100" w:type="dxa"/>
              <w:start w:w="110" w:type="dxa"/>
              <w:bottom w:w="100" w:type="dxa"/>
              <w:end w:w="110" w:type="dxa"/>
            </w:tcMar>
            <w:vAlign w:val="center"/>
          </w:tcPr>
          <w:p>
            <w:pPr>
              <w:spacing w:after="0" w:line="240" w:lineRule="auto"/>
            </w:pPr>
            <w:r>
              <w:rPr>
                <w:rFonts w:ascii="Aptos" w:hAnsi="Aptos"/>
                <w:sz w:val="18"/>
              </w:rPr>
              <w:t>Retained</w:t>
            </w:r>
          </w:p>
        </w:tc>
      </w:tr>
      <w:tr>
        <w:trPr>
          <w:cantSplit/>
        </w:trPr>
        <w:tc>
          <w:tcPr>
            <w:tcW w:type="dxa" w:w="2592"/>
            <w:tcMar>
              <w:top w:w="100" w:type="dxa"/>
              <w:start w:w="110" w:type="dxa"/>
              <w:bottom w:w="100" w:type="dxa"/>
              <w:end w:w="110" w:type="dxa"/>
            </w:tcMar>
            <w:vAlign w:val="center"/>
            <w:shd w:fill="EAF2F8"/>
          </w:tcPr>
          <w:p>
            <w:pPr>
              <w:spacing w:after="0" w:line="240" w:lineRule="auto"/>
            </w:pPr>
            <w:r>
              <w:rPr>
                <w:rFonts w:ascii="Aptos" w:hAnsi="Aptos"/>
                <w:sz w:val="18"/>
              </w:rPr>
              <w:t>Missing customer ID</w:t>
            </w:r>
          </w:p>
        </w:tc>
        <w:tc>
          <w:tcPr>
            <w:tcW w:type="dxa" w:w="1512"/>
            <w:tcMar>
              <w:top w:w="100" w:type="dxa"/>
              <w:start w:w="110" w:type="dxa"/>
              <w:bottom w:w="100" w:type="dxa"/>
              <w:end w:w="110" w:type="dxa"/>
            </w:tcMar>
            <w:vAlign w:val="center"/>
            <w:shd w:fill="EAF2F8"/>
          </w:tcPr>
          <w:p>
            <w:pPr>
              <w:spacing w:after="0" w:line="240" w:lineRule="auto"/>
            </w:pPr>
            <w:r>
              <w:rPr>
                <w:rFonts w:ascii="Aptos" w:hAnsi="Aptos"/>
                <w:sz w:val="18"/>
              </w:rPr>
              <w:t>243,007</w:t>
            </w:r>
          </w:p>
        </w:tc>
        <w:tc>
          <w:tcPr>
            <w:tcW w:type="dxa" w:w="5760"/>
            <w:tcMar>
              <w:top w:w="100" w:type="dxa"/>
              <w:start w:w="110" w:type="dxa"/>
              <w:bottom w:w="100" w:type="dxa"/>
              <w:end w:w="110" w:type="dxa"/>
            </w:tcMar>
            <w:vAlign w:val="center"/>
            <w:shd w:fill="EAF2F8"/>
          </w:tcPr>
          <w:p>
            <w:pPr>
              <w:spacing w:after="0" w:line="240" w:lineRule="auto"/>
            </w:pPr>
            <w:r>
              <w:rPr>
                <w:rFonts w:ascii="Aptos" w:hAnsi="Aptos"/>
                <w:sz w:val="18"/>
              </w:rPr>
              <w:t>Retained for sales analysis; excluded from identified-customer RFM</w:t>
            </w:r>
          </w:p>
        </w:tc>
      </w:tr>
      <w:tr>
        <w:trPr>
          <w:cantSplit/>
        </w:trPr>
        <w:tc>
          <w:tcPr>
            <w:tcW w:type="dxa" w:w="2592"/>
            <w:tcMar>
              <w:top w:w="100" w:type="dxa"/>
              <w:start w:w="110" w:type="dxa"/>
              <w:bottom w:w="100" w:type="dxa"/>
              <w:end w:w="110" w:type="dxa"/>
            </w:tcMar>
            <w:vAlign w:val="center"/>
          </w:tcPr>
          <w:p>
            <w:pPr>
              <w:spacing w:after="0" w:line="240" w:lineRule="auto"/>
            </w:pPr>
            <w:r>
              <w:rPr>
                <w:rFonts w:ascii="Aptos" w:hAnsi="Aptos"/>
                <w:sz w:val="18"/>
              </w:rPr>
              <w:t>Missing description</w:t>
            </w:r>
          </w:p>
        </w:tc>
        <w:tc>
          <w:tcPr>
            <w:tcW w:type="dxa" w:w="1512"/>
            <w:tcMar>
              <w:top w:w="100" w:type="dxa"/>
              <w:start w:w="110" w:type="dxa"/>
              <w:bottom w:w="100" w:type="dxa"/>
              <w:end w:w="110" w:type="dxa"/>
            </w:tcMar>
            <w:vAlign w:val="center"/>
          </w:tcPr>
          <w:p>
            <w:pPr>
              <w:spacing w:after="0" w:line="240" w:lineRule="auto"/>
            </w:pPr>
            <w:r>
              <w:rPr>
                <w:rFonts w:ascii="Aptos" w:hAnsi="Aptos"/>
                <w:sz w:val="18"/>
              </w:rPr>
              <w:t>4,382</w:t>
            </w:r>
          </w:p>
        </w:tc>
        <w:tc>
          <w:tcPr>
            <w:tcW w:type="dxa" w:w="5760"/>
            <w:tcMar>
              <w:top w:w="100" w:type="dxa"/>
              <w:start w:w="110" w:type="dxa"/>
              <w:bottom w:w="100" w:type="dxa"/>
              <w:end w:w="110" w:type="dxa"/>
            </w:tcMar>
            <w:vAlign w:val="center"/>
          </w:tcPr>
          <w:p>
            <w:pPr>
              <w:spacing w:after="0" w:line="240" w:lineRule="auto"/>
            </w:pPr>
            <w:r>
              <w:rPr>
                <w:rFonts w:ascii="Aptos" w:hAnsi="Aptos"/>
                <w:sz w:val="18"/>
              </w:rPr>
              <w:t>Retained</w:t>
            </w:r>
          </w:p>
        </w:tc>
      </w:tr>
      <w:tr>
        <w:trPr>
          <w:cantSplit/>
        </w:trPr>
        <w:tc>
          <w:tcPr>
            <w:tcW w:type="dxa" w:w="2592"/>
            <w:tcMar>
              <w:top w:w="100" w:type="dxa"/>
              <w:start w:w="110" w:type="dxa"/>
              <w:bottom w:w="100" w:type="dxa"/>
              <w:end w:w="110" w:type="dxa"/>
            </w:tcMar>
            <w:vAlign w:val="center"/>
            <w:shd w:fill="EAF2F8"/>
          </w:tcPr>
          <w:p>
            <w:pPr>
              <w:spacing w:after="0" w:line="240" w:lineRule="auto"/>
            </w:pPr>
            <w:r>
              <w:rPr>
                <w:rFonts w:ascii="Aptos" w:hAnsi="Aptos"/>
                <w:sz w:val="18"/>
              </w:rPr>
              <w:t>Cancellation-coded rows</w:t>
            </w:r>
          </w:p>
        </w:tc>
        <w:tc>
          <w:tcPr>
            <w:tcW w:type="dxa" w:w="1512"/>
            <w:tcMar>
              <w:top w:w="100" w:type="dxa"/>
              <w:start w:w="110" w:type="dxa"/>
              <w:bottom w:w="100" w:type="dxa"/>
              <w:end w:w="110" w:type="dxa"/>
            </w:tcMar>
            <w:vAlign w:val="center"/>
            <w:shd w:fill="EAF2F8"/>
          </w:tcPr>
          <w:p>
            <w:pPr>
              <w:spacing w:after="0" w:line="240" w:lineRule="auto"/>
            </w:pPr>
            <w:r>
              <w:rPr>
                <w:rFonts w:ascii="Aptos" w:hAnsi="Aptos"/>
                <w:sz w:val="18"/>
              </w:rPr>
              <w:t>19,494</w:t>
            </w:r>
          </w:p>
        </w:tc>
        <w:tc>
          <w:tcPr>
            <w:tcW w:type="dxa" w:w="5760"/>
            <w:tcMar>
              <w:top w:w="100" w:type="dxa"/>
              <w:start w:w="110" w:type="dxa"/>
              <w:bottom w:w="100" w:type="dxa"/>
              <w:end w:w="110" w:type="dxa"/>
            </w:tcMar>
            <w:vAlign w:val="center"/>
            <w:shd w:fill="EAF2F8"/>
          </w:tcPr>
          <w:p>
            <w:pPr>
              <w:spacing w:after="0" w:line="240" w:lineRule="auto"/>
            </w:pPr>
            <w:r>
              <w:rPr>
                <w:rFonts w:ascii="Aptos" w:hAnsi="Aptos"/>
                <w:sz w:val="18"/>
              </w:rPr>
              <w:t>Used as signed credits when quantity is negative and price is positive</w:t>
            </w:r>
          </w:p>
        </w:tc>
      </w:tr>
      <w:tr>
        <w:trPr>
          <w:cantSplit/>
        </w:trPr>
        <w:tc>
          <w:tcPr>
            <w:tcW w:type="dxa" w:w="2592"/>
            <w:tcMar>
              <w:top w:w="100" w:type="dxa"/>
              <w:start w:w="110" w:type="dxa"/>
              <w:bottom w:w="100" w:type="dxa"/>
              <w:end w:w="110" w:type="dxa"/>
            </w:tcMar>
            <w:vAlign w:val="center"/>
          </w:tcPr>
          <w:p>
            <w:pPr>
              <w:spacing w:after="0" w:line="240" w:lineRule="auto"/>
            </w:pPr>
            <w:r>
              <w:rPr>
                <w:rFonts w:ascii="Aptos" w:hAnsi="Aptos"/>
                <w:sz w:val="18"/>
              </w:rPr>
              <w:t>Negative-quantity rows</w:t>
            </w:r>
          </w:p>
        </w:tc>
        <w:tc>
          <w:tcPr>
            <w:tcW w:type="dxa" w:w="1512"/>
            <w:tcMar>
              <w:top w:w="100" w:type="dxa"/>
              <w:start w:w="110" w:type="dxa"/>
              <w:bottom w:w="100" w:type="dxa"/>
              <w:end w:w="110" w:type="dxa"/>
            </w:tcMar>
            <w:vAlign w:val="center"/>
          </w:tcPr>
          <w:p>
            <w:pPr>
              <w:spacing w:after="0" w:line="240" w:lineRule="auto"/>
            </w:pPr>
            <w:r>
              <w:rPr>
                <w:rFonts w:ascii="Aptos" w:hAnsi="Aptos"/>
                <w:sz w:val="18"/>
              </w:rPr>
              <w:t>22,950</w:t>
            </w:r>
          </w:p>
        </w:tc>
        <w:tc>
          <w:tcPr>
            <w:tcW w:type="dxa" w:w="5760"/>
            <w:tcMar>
              <w:top w:w="100" w:type="dxa"/>
              <w:start w:w="110" w:type="dxa"/>
              <w:bottom w:w="100" w:type="dxa"/>
              <w:end w:w="110" w:type="dxa"/>
            </w:tcMar>
            <w:vAlign w:val="center"/>
          </w:tcPr>
          <w:p>
            <w:pPr>
              <w:spacing w:after="0" w:line="240" w:lineRule="auto"/>
            </w:pPr>
            <w:r>
              <w:rPr>
                <w:rFonts w:ascii="Aptos" w:hAnsi="Aptos"/>
                <w:sz w:val="18"/>
              </w:rPr>
              <w:t>Reviewed; valid merchandise cancellations enter credit analysis</w:t>
            </w:r>
          </w:p>
        </w:tc>
      </w:tr>
      <w:tr>
        <w:trPr>
          <w:cantSplit/>
        </w:trPr>
        <w:tc>
          <w:tcPr>
            <w:tcW w:type="dxa" w:w="2592"/>
            <w:tcMar>
              <w:top w:w="100" w:type="dxa"/>
              <w:start w:w="110" w:type="dxa"/>
              <w:bottom w:w="100" w:type="dxa"/>
              <w:end w:w="110" w:type="dxa"/>
            </w:tcMar>
            <w:vAlign w:val="center"/>
            <w:shd w:fill="EAF2F8"/>
          </w:tcPr>
          <w:p>
            <w:pPr>
              <w:spacing w:after="0" w:line="240" w:lineRule="auto"/>
            </w:pPr>
            <w:r>
              <w:rPr>
                <w:rFonts w:ascii="Aptos" w:hAnsi="Aptos"/>
                <w:sz w:val="18"/>
              </w:rPr>
              <w:t>Nonpositive-price rows</w:t>
            </w:r>
          </w:p>
        </w:tc>
        <w:tc>
          <w:tcPr>
            <w:tcW w:type="dxa" w:w="1512"/>
            <w:tcMar>
              <w:top w:w="100" w:type="dxa"/>
              <w:start w:w="110" w:type="dxa"/>
              <w:bottom w:w="100" w:type="dxa"/>
              <w:end w:w="110" w:type="dxa"/>
            </w:tcMar>
            <w:vAlign w:val="center"/>
            <w:shd w:fill="EAF2F8"/>
          </w:tcPr>
          <w:p>
            <w:pPr>
              <w:spacing w:after="0" w:line="240" w:lineRule="auto"/>
            </w:pPr>
            <w:r>
              <w:rPr>
                <w:rFonts w:ascii="Aptos" w:hAnsi="Aptos"/>
                <w:sz w:val="18"/>
              </w:rPr>
              <w:t>6,207</w:t>
            </w:r>
          </w:p>
        </w:tc>
        <w:tc>
          <w:tcPr>
            <w:tcW w:type="dxa" w:w="5760"/>
            <w:tcMar>
              <w:top w:w="100" w:type="dxa"/>
              <w:start w:w="110" w:type="dxa"/>
              <w:bottom w:w="100" w:type="dxa"/>
              <w:end w:w="110" w:type="dxa"/>
            </w:tcMar>
            <w:vAlign w:val="center"/>
            <w:shd w:fill="EAF2F8"/>
          </w:tcPr>
          <w:p>
            <w:pPr>
              <w:spacing w:after="0" w:line="240" w:lineRule="auto"/>
            </w:pPr>
            <w:r>
              <w:rPr>
                <w:rFonts w:ascii="Aptos" w:hAnsi="Aptos"/>
                <w:sz w:val="18"/>
              </w:rPr>
              <w:t>Excluded from merchandise value views</w:t>
            </w:r>
          </w:p>
        </w:tc>
      </w:tr>
      <w:tr>
        <w:trPr>
          <w:cantSplit/>
        </w:trPr>
        <w:tc>
          <w:tcPr>
            <w:tcW w:type="dxa" w:w="2592"/>
            <w:tcMar>
              <w:top w:w="100" w:type="dxa"/>
              <w:start w:w="110" w:type="dxa"/>
              <w:bottom w:w="100" w:type="dxa"/>
              <w:end w:w="110" w:type="dxa"/>
            </w:tcMar>
            <w:vAlign w:val="center"/>
          </w:tcPr>
          <w:p>
            <w:pPr>
              <w:spacing w:after="0" w:line="240" w:lineRule="auto"/>
            </w:pPr>
            <w:r>
              <w:rPr>
                <w:rFonts w:ascii="Aptos" w:hAnsi="Aptos"/>
                <w:sz w:val="18"/>
              </w:rPr>
              <w:t>Exact-repeat flags</w:t>
            </w:r>
          </w:p>
        </w:tc>
        <w:tc>
          <w:tcPr>
            <w:tcW w:type="dxa" w:w="1512"/>
            <w:tcMar>
              <w:top w:w="100" w:type="dxa"/>
              <w:start w:w="110" w:type="dxa"/>
              <w:bottom w:w="100" w:type="dxa"/>
              <w:end w:w="110" w:type="dxa"/>
            </w:tcMar>
            <w:vAlign w:val="center"/>
          </w:tcPr>
          <w:p>
            <w:pPr>
              <w:spacing w:after="0" w:line="240" w:lineRule="auto"/>
            </w:pPr>
            <w:r>
              <w:rPr>
                <w:rFonts w:ascii="Aptos" w:hAnsi="Aptos"/>
                <w:sz w:val="18"/>
              </w:rPr>
              <w:t>34,335</w:t>
            </w:r>
          </w:p>
        </w:tc>
        <w:tc>
          <w:tcPr>
            <w:tcW w:type="dxa" w:w="5760"/>
            <w:tcMar>
              <w:top w:w="100" w:type="dxa"/>
              <w:start w:w="110" w:type="dxa"/>
              <w:bottom w:w="100" w:type="dxa"/>
              <w:end w:w="110" w:type="dxa"/>
            </w:tcMar>
            <w:vAlign w:val="center"/>
          </w:tcPr>
          <w:p>
            <w:pPr>
              <w:spacing w:after="0" w:line="240" w:lineRule="auto"/>
            </w:pPr>
            <w:r>
              <w:rPr>
                <w:rFonts w:ascii="Aptos" w:hAnsi="Aptos"/>
                <w:sz w:val="18"/>
              </w:rPr>
              <w:t>Retained because repetition alone does not prove an error</w:t>
            </w:r>
          </w:p>
        </w:tc>
      </w:tr>
    </w:tbl>
    <w:p>
      <w:pPr>
        <w:spacing w:after="0"/>
      </w:pPr>
    </w:p>
    <w:p>
      <w:pPr>
        <w:pStyle w:val="Heading2"/>
      </w:pPr>
      <w:r>
        <w:t>Merchandise classification</w:t>
      </w:r>
    </w:p>
    <w:p>
      <w:r>
        <w:t>The product views exclude postage, dot-com charges, carriage, Amazon fees, bank charges, bad-debt and manual adjustments, discount entries, test products, samples, gift vouchers and CRUK commission. Physical product codes such as DCGS items and PADS remain because they represent merchandise in the source data.</w:t>
      </w:r>
    </w:p>
    <w:p>
      <w:r>
        <w:t>A large purchase and cancellation for stock code 23843 and customer 16446 are both retained. Each has a value of £168,469.60 and together they net to zero. The data does not prove whether this was a physical return or a correction, so the report describes it as a credit rather than assigning a cause.</w:t>
      </w:r>
    </w:p>
    <w:p>
      <w:pPr>
        <w:pStyle w:val="Heading1"/>
      </w:pPr>
      <w:r>
        <w:t>Analysis pipeline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blHeader w:val="true"/>
        </w:trPr>
        <w:tc>
          <w:tcPr>
            <w:tcW w:type="dxa" w:w="3240"/>
            <w:tcMar>
              <w:top w:w="100" w:type="dxa"/>
              <w:start w:w="110" w:type="dxa"/>
              <w:bottom w:w="100" w:type="dxa"/>
              <w:end w:w="110" w:type="dxa"/>
            </w:tcMar>
            <w:vAlign w:val="center"/>
            <w:shd w:fill="1F4E78"/>
          </w:tcPr>
          <w:p>
            <w:pPr>
              <w:spacing w:after="0" w:line="240" w:lineRule="auto"/>
            </w:pPr>
            <w:r>
              <w:rPr>
                <w:rFonts w:ascii="Aptos" w:hAnsi="Aptos"/>
                <w:b/>
                <w:color w:val="FFFFFF"/>
                <w:sz w:val="18"/>
              </w:rPr>
              <w:t>Table or view</w:t>
            </w:r>
          </w:p>
        </w:tc>
        <w:tc>
          <w:tcPr>
            <w:tcW w:type="dxa" w:w="6624"/>
            <w:tcMar>
              <w:top w:w="100" w:type="dxa"/>
              <w:start w:w="110" w:type="dxa"/>
              <w:bottom w:w="100" w:type="dxa"/>
              <w:end w:w="110" w:type="dxa"/>
            </w:tcMar>
            <w:vAlign w:val="center"/>
            <w:shd w:fill="1F4E78"/>
          </w:tcPr>
          <w:p>
            <w:pPr>
              <w:spacing w:after="0" w:line="240" w:lineRule="auto"/>
            </w:pPr>
            <w:r>
              <w:rPr>
                <w:rFonts w:ascii="Aptos" w:hAnsi="Aptos"/>
                <w:b/>
                <w:color w:val="FFFFFF"/>
                <w:sz w:val="18"/>
              </w:rPr>
              <w:t>Purpose</w:t>
            </w:r>
          </w:p>
        </w:tc>
      </w:tr>
      <w:tr>
        <w:trPr>
          <w:cantSplit/>
        </w:trPr>
        <w:tc>
          <w:tcPr>
            <w:tcW w:type="dxa" w:w="3240"/>
            <w:tcMar>
              <w:top w:w="100" w:type="dxa"/>
              <w:start w:w="110" w:type="dxa"/>
              <w:bottom w:w="100" w:type="dxa"/>
              <w:end w:w="110" w:type="dxa"/>
            </w:tcMar>
            <w:vAlign w:val="center"/>
          </w:tcPr>
          <w:p>
            <w:pPr>
              <w:spacing w:after="0" w:line="240" w:lineRule="auto"/>
            </w:pPr>
            <w:r>
              <w:rPr>
                <w:rFonts w:ascii="Aptos" w:hAnsi="Aptos"/>
                <w:sz w:val="18"/>
              </w:rPr>
              <w:t>retail_lines</w:t>
            </w:r>
          </w:p>
        </w:tc>
        <w:tc>
          <w:tcPr>
            <w:tcW w:type="dxa" w:w="6624"/>
            <w:tcMar>
              <w:top w:w="100" w:type="dxa"/>
              <w:start w:w="110" w:type="dxa"/>
              <w:bottom w:w="100" w:type="dxa"/>
              <w:end w:w="110" w:type="dxa"/>
            </w:tcMar>
            <w:vAlign w:val="center"/>
          </w:tcPr>
          <w:p>
            <w:pPr>
              <w:spacing w:after="0" w:line="240" w:lineRule="auto"/>
            </w:pPr>
            <w:r>
              <w:rPr>
                <w:rFonts w:ascii="Aptos" w:hAnsi="Aptos"/>
                <w:sz w:val="18"/>
              </w:rPr>
              <w:t>Raw invoice lines with provenance and review flags</w:t>
            </w:r>
          </w:p>
        </w:tc>
      </w:tr>
      <w:tr>
        <w:trPr>
          <w:cantSplit/>
        </w:trPr>
        <w:tc>
          <w:tcPr>
            <w:tcW w:type="dxa" w:w="3240"/>
            <w:tcMar>
              <w:top w:w="100" w:type="dxa"/>
              <w:start w:w="110" w:type="dxa"/>
              <w:bottom w:w="100" w:type="dxa"/>
              <w:end w:w="110" w:type="dxa"/>
            </w:tcMar>
            <w:vAlign w:val="center"/>
            <w:shd w:fill="EAF2F8"/>
          </w:tcPr>
          <w:p>
            <w:pPr>
              <w:spacing w:after="0" w:line="240" w:lineRule="auto"/>
            </w:pPr>
            <w:r>
              <w:rPr>
                <w:rFonts w:ascii="Aptos" w:hAnsi="Aptos"/>
                <w:sz w:val="18"/>
              </w:rPr>
              <w:t>positive_invoice_lines</w:t>
            </w:r>
          </w:p>
        </w:tc>
        <w:tc>
          <w:tcPr>
            <w:tcW w:type="dxa" w:w="6624"/>
            <w:tcMar>
              <w:top w:w="100" w:type="dxa"/>
              <w:start w:w="110" w:type="dxa"/>
              <w:bottom w:w="100" w:type="dxa"/>
              <w:end w:w="110" w:type="dxa"/>
            </w:tcMar>
            <w:vAlign w:val="center"/>
            <w:shd w:fill="EAF2F8"/>
          </w:tcPr>
          <w:p>
            <w:pPr>
              <w:spacing w:after="0" w:line="240" w:lineRule="auto"/>
            </w:pPr>
            <w:r>
              <w:rPr>
                <w:rFonts w:ascii="Aptos" w:hAnsi="Aptos"/>
                <w:sz w:val="18"/>
              </w:rPr>
              <w:t>Non-cancelled positive quantity and positive price lines</w:t>
            </w:r>
          </w:p>
        </w:tc>
      </w:tr>
      <w:tr>
        <w:trPr>
          <w:cantSplit/>
        </w:trPr>
        <w:tc>
          <w:tcPr>
            <w:tcW w:type="dxa" w:w="3240"/>
            <w:tcMar>
              <w:top w:w="100" w:type="dxa"/>
              <w:start w:w="110" w:type="dxa"/>
              <w:bottom w:w="100" w:type="dxa"/>
              <w:end w:w="110" w:type="dxa"/>
            </w:tcMar>
            <w:vAlign w:val="center"/>
          </w:tcPr>
          <w:p>
            <w:pPr>
              <w:spacing w:after="0" w:line="240" w:lineRule="auto"/>
            </w:pPr>
            <w:r>
              <w:rPr>
                <w:rFonts w:ascii="Aptos" w:hAnsi="Aptos"/>
                <w:sz w:val="18"/>
              </w:rPr>
              <w:t>product_sales</w:t>
            </w:r>
          </w:p>
        </w:tc>
        <w:tc>
          <w:tcPr>
            <w:tcW w:type="dxa" w:w="6624"/>
            <w:tcMar>
              <w:top w:w="100" w:type="dxa"/>
              <w:start w:w="110" w:type="dxa"/>
              <w:bottom w:w="100" w:type="dxa"/>
              <w:end w:w="110" w:type="dxa"/>
            </w:tcMar>
            <w:vAlign w:val="center"/>
          </w:tcPr>
          <w:p>
            <w:pPr>
              <w:spacing w:after="0" w:line="240" w:lineRule="auto"/>
            </w:pPr>
            <w:r>
              <w:rPr>
                <w:rFonts w:ascii="Aptos" w:hAnsi="Aptos"/>
                <w:sz w:val="18"/>
              </w:rPr>
              <w:t>Positive merchandise purchase lines after charge exclusions</w:t>
            </w:r>
          </w:p>
        </w:tc>
      </w:tr>
      <w:tr>
        <w:trPr>
          <w:cantSplit/>
        </w:trPr>
        <w:tc>
          <w:tcPr>
            <w:tcW w:type="dxa" w:w="3240"/>
            <w:tcMar>
              <w:top w:w="100" w:type="dxa"/>
              <w:start w:w="110" w:type="dxa"/>
              <w:bottom w:w="100" w:type="dxa"/>
              <w:end w:w="110" w:type="dxa"/>
            </w:tcMar>
            <w:vAlign w:val="center"/>
            <w:shd w:fill="EAF2F8"/>
          </w:tcPr>
          <w:p>
            <w:pPr>
              <w:spacing w:after="0" w:line="240" w:lineRule="auto"/>
            </w:pPr>
            <w:r>
              <w:rPr>
                <w:rFonts w:ascii="Aptos" w:hAnsi="Aptos"/>
                <w:sz w:val="18"/>
              </w:rPr>
              <w:t>product_transactions</w:t>
            </w:r>
          </w:p>
        </w:tc>
        <w:tc>
          <w:tcPr>
            <w:tcW w:type="dxa" w:w="6624"/>
            <w:tcMar>
              <w:top w:w="100" w:type="dxa"/>
              <w:start w:w="110" w:type="dxa"/>
              <w:bottom w:w="100" w:type="dxa"/>
              <w:end w:w="110" w:type="dxa"/>
            </w:tcMar>
            <w:vAlign w:val="center"/>
            <w:shd w:fill="EAF2F8"/>
          </w:tcPr>
          <w:p>
            <w:pPr>
              <w:spacing w:after="0" w:line="240" w:lineRule="auto"/>
            </w:pPr>
            <w:r>
              <w:rPr>
                <w:rFonts w:ascii="Aptos" w:hAnsi="Aptos"/>
                <w:sz w:val="18"/>
              </w:rPr>
              <w:t>Signed merchandise purchases and cancellation credits</w:t>
            </w:r>
          </w:p>
        </w:tc>
      </w:tr>
      <w:tr>
        <w:trPr>
          <w:cantSplit/>
        </w:trPr>
        <w:tc>
          <w:tcPr>
            <w:tcW w:type="dxa" w:w="3240"/>
            <w:tcMar>
              <w:top w:w="100" w:type="dxa"/>
              <w:start w:w="110" w:type="dxa"/>
              <w:bottom w:w="100" w:type="dxa"/>
              <w:end w:w="110" w:type="dxa"/>
            </w:tcMar>
            <w:vAlign w:val="center"/>
          </w:tcPr>
          <w:p>
            <w:pPr>
              <w:spacing w:after="0" w:line="240" w:lineRule="auto"/>
            </w:pPr>
            <w:r>
              <w:rPr>
                <w:rFonts w:ascii="Aptos" w:hAnsi="Aptos"/>
                <w:sz w:val="18"/>
              </w:rPr>
              <w:t>monthly_sales</w:t>
            </w:r>
          </w:p>
        </w:tc>
        <w:tc>
          <w:tcPr>
            <w:tcW w:type="dxa" w:w="6624"/>
            <w:tcMar>
              <w:top w:w="100" w:type="dxa"/>
              <w:start w:w="110" w:type="dxa"/>
              <w:bottom w:w="100" w:type="dxa"/>
              <w:end w:w="110" w:type="dxa"/>
            </w:tcMar>
            <w:vAlign w:val="center"/>
          </w:tcPr>
          <w:p>
            <w:pPr>
              <w:spacing w:after="0" w:line="240" w:lineRule="auto"/>
            </w:pPr>
            <w:r>
              <w:rPr>
                <w:rFonts w:ascii="Aptos" w:hAnsi="Aptos"/>
                <w:sz w:val="18"/>
              </w:rPr>
              <w:t>Monthly gross sales credits net sales and period status</w:t>
            </w:r>
          </w:p>
        </w:tc>
      </w:tr>
      <w:tr>
        <w:trPr>
          <w:cantSplit/>
        </w:trPr>
        <w:tc>
          <w:tcPr>
            <w:tcW w:type="dxa" w:w="3240"/>
            <w:tcMar>
              <w:top w:w="100" w:type="dxa"/>
              <w:start w:w="110" w:type="dxa"/>
              <w:bottom w:w="100" w:type="dxa"/>
              <w:end w:w="110" w:type="dxa"/>
            </w:tcMar>
            <w:vAlign w:val="center"/>
            <w:shd w:fill="EAF2F8"/>
          </w:tcPr>
          <w:p>
            <w:pPr>
              <w:spacing w:after="0" w:line="240" w:lineRule="auto"/>
            </w:pPr>
            <w:r>
              <w:rPr>
                <w:rFonts w:ascii="Aptos" w:hAnsi="Aptos"/>
                <w:sz w:val="18"/>
              </w:rPr>
              <w:t>country_sales</w:t>
            </w:r>
          </w:p>
        </w:tc>
        <w:tc>
          <w:tcPr>
            <w:tcW w:type="dxa" w:w="6624"/>
            <w:tcMar>
              <w:top w:w="100" w:type="dxa"/>
              <w:start w:w="110" w:type="dxa"/>
              <w:bottom w:w="100" w:type="dxa"/>
              <w:end w:w="110" w:type="dxa"/>
            </w:tcMar>
            <w:vAlign w:val="center"/>
            <w:shd w:fill="EAF2F8"/>
          </w:tcPr>
          <w:p>
            <w:pPr>
              <w:spacing w:after="0" w:line="240" w:lineRule="auto"/>
            </w:pPr>
            <w:r>
              <w:rPr>
                <w:rFonts w:ascii="Aptos" w:hAnsi="Aptos"/>
                <w:sz w:val="18"/>
              </w:rPr>
              <w:t>Country-level sales summary</w:t>
            </w:r>
          </w:p>
        </w:tc>
      </w:tr>
      <w:tr>
        <w:trPr>
          <w:cantSplit/>
        </w:trPr>
        <w:tc>
          <w:tcPr>
            <w:tcW w:type="dxa" w:w="3240"/>
            <w:tcMar>
              <w:top w:w="100" w:type="dxa"/>
              <w:start w:w="110" w:type="dxa"/>
              <w:bottom w:w="100" w:type="dxa"/>
              <w:end w:w="110" w:type="dxa"/>
            </w:tcMar>
            <w:vAlign w:val="center"/>
          </w:tcPr>
          <w:p>
            <w:pPr>
              <w:spacing w:after="0" w:line="240" w:lineRule="auto"/>
            </w:pPr>
            <w:r>
              <w:rPr>
                <w:rFonts w:ascii="Aptos" w:hAnsi="Aptos"/>
                <w:sz w:val="18"/>
              </w:rPr>
              <w:t>product_summary</w:t>
            </w:r>
          </w:p>
        </w:tc>
        <w:tc>
          <w:tcPr>
            <w:tcW w:type="dxa" w:w="6624"/>
            <w:tcMar>
              <w:top w:w="100" w:type="dxa"/>
              <w:start w:w="110" w:type="dxa"/>
              <w:bottom w:w="100" w:type="dxa"/>
              <w:end w:w="110" w:type="dxa"/>
            </w:tcMar>
            <w:vAlign w:val="center"/>
          </w:tcPr>
          <w:p>
            <w:pPr>
              <w:spacing w:after="0" w:line="240" w:lineRule="auto"/>
            </w:pPr>
            <w:r>
              <w:rPr>
                <w:rFonts w:ascii="Aptos" w:hAnsi="Aptos"/>
                <w:sz w:val="18"/>
              </w:rPr>
              <w:t>Stock-code-level units gross credits and net sales</w:t>
            </w:r>
          </w:p>
        </w:tc>
      </w:tr>
      <w:tr>
        <w:trPr>
          <w:cantSplit/>
        </w:trPr>
        <w:tc>
          <w:tcPr>
            <w:tcW w:type="dxa" w:w="3240"/>
            <w:tcMar>
              <w:top w:w="100" w:type="dxa"/>
              <w:start w:w="110" w:type="dxa"/>
              <w:bottom w:w="100" w:type="dxa"/>
              <w:end w:w="110" w:type="dxa"/>
            </w:tcMar>
            <w:vAlign w:val="center"/>
            <w:shd w:fill="EAF2F8"/>
          </w:tcPr>
          <w:p>
            <w:pPr>
              <w:spacing w:after="0" w:line="240" w:lineRule="auto"/>
            </w:pPr>
            <w:r>
              <w:rPr>
                <w:rFonts w:ascii="Aptos" w:hAnsi="Aptos"/>
                <w:sz w:val="18"/>
              </w:rPr>
              <w:t>customer_rfm_net</w:t>
            </w:r>
          </w:p>
        </w:tc>
        <w:tc>
          <w:tcPr>
            <w:tcW w:type="dxa" w:w="6624"/>
            <w:tcMar>
              <w:top w:w="100" w:type="dxa"/>
              <w:start w:w="110" w:type="dxa"/>
              <w:bottom w:w="100" w:type="dxa"/>
              <w:end w:w="110" w:type="dxa"/>
            </w:tcMar>
            <w:vAlign w:val="center"/>
            <w:shd w:fill="EAF2F8"/>
          </w:tcPr>
          <w:p>
            <w:pPr>
              <w:spacing w:after="0" w:line="240" w:lineRule="auto"/>
            </w:pPr>
            <w:r>
              <w:rPr>
                <w:rFonts w:ascii="Aptos" w:hAnsi="Aptos"/>
                <w:sz w:val="18"/>
              </w:rPr>
              <w:t>Customer recency frequency and net monetary value</w:t>
            </w:r>
          </w:p>
        </w:tc>
      </w:tr>
      <w:tr>
        <w:trPr>
          <w:cantSplit/>
        </w:trPr>
        <w:tc>
          <w:tcPr>
            <w:tcW w:type="dxa" w:w="3240"/>
            <w:tcMar>
              <w:top w:w="100" w:type="dxa"/>
              <w:start w:w="110" w:type="dxa"/>
              <w:bottom w:w="100" w:type="dxa"/>
              <w:end w:w="110" w:type="dxa"/>
            </w:tcMar>
            <w:vAlign w:val="center"/>
          </w:tcPr>
          <w:p>
            <w:pPr>
              <w:spacing w:after="0" w:line="240" w:lineRule="auto"/>
            </w:pPr>
            <w:r>
              <w:rPr>
                <w:rFonts w:ascii="Aptos" w:hAnsi="Aptos"/>
                <w:sz w:val="18"/>
              </w:rPr>
              <w:t>customer_rfm_scores</w:t>
            </w:r>
          </w:p>
        </w:tc>
        <w:tc>
          <w:tcPr>
            <w:tcW w:type="dxa" w:w="6624"/>
            <w:tcMar>
              <w:top w:w="100" w:type="dxa"/>
              <w:start w:w="110" w:type="dxa"/>
              <w:bottom w:w="100" w:type="dxa"/>
              <w:end w:w="110" w:type="dxa"/>
            </w:tcMar>
            <w:vAlign w:val="center"/>
          </w:tcPr>
          <w:p>
            <w:pPr>
              <w:spacing w:after="0" w:line="240" w:lineRule="auto"/>
            </w:pPr>
            <w:r>
              <w:rPr>
                <w:rFonts w:ascii="Aptos" w:hAnsi="Aptos"/>
                <w:sz w:val="18"/>
              </w:rPr>
              <w:t>R F and M scores using documented thresholds</w:t>
            </w:r>
          </w:p>
        </w:tc>
      </w:tr>
      <w:tr>
        <w:trPr>
          <w:cantSplit/>
        </w:trPr>
        <w:tc>
          <w:tcPr>
            <w:tcW w:type="dxa" w:w="3240"/>
            <w:tcMar>
              <w:top w:w="100" w:type="dxa"/>
              <w:start w:w="110" w:type="dxa"/>
              <w:bottom w:w="100" w:type="dxa"/>
              <w:end w:w="110" w:type="dxa"/>
            </w:tcMar>
            <w:vAlign w:val="center"/>
            <w:shd w:fill="EAF2F8"/>
          </w:tcPr>
          <w:p>
            <w:pPr>
              <w:spacing w:after="0" w:line="240" w:lineRule="auto"/>
            </w:pPr>
            <w:r>
              <w:rPr>
                <w:rFonts w:ascii="Aptos" w:hAnsi="Aptos"/>
                <w:sz w:val="18"/>
              </w:rPr>
              <w:t>customer_segments</w:t>
            </w:r>
          </w:p>
        </w:tc>
        <w:tc>
          <w:tcPr>
            <w:tcW w:type="dxa" w:w="6624"/>
            <w:tcMar>
              <w:top w:w="100" w:type="dxa"/>
              <w:start w:w="110" w:type="dxa"/>
              <w:bottom w:w="100" w:type="dxa"/>
              <w:end w:w="110" w:type="dxa"/>
            </w:tcMar>
            <w:vAlign w:val="center"/>
            <w:shd w:fill="EAF2F8"/>
          </w:tcPr>
          <w:p>
            <w:pPr>
              <w:spacing w:after="0" w:line="240" w:lineRule="auto"/>
            </w:pPr>
            <w:r>
              <w:rPr>
                <w:rFonts w:ascii="Aptos" w:hAnsi="Aptos"/>
                <w:sz w:val="18"/>
              </w:rPr>
              <w:t>Named customer segments</w:t>
            </w:r>
          </w:p>
        </w:tc>
      </w:tr>
      <w:tr>
        <w:trPr>
          <w:cantSplit/>
        </w:trPr>
        <w:tc>
          <w:tcPr>
            <w:tcW w:type="dxa" w:w="3240"/>
            <w:tcMar>
              <w:top w:w="100" w:type="dxa"/>
              <w:start w:w="110" w:type="dxa"/>
              <w:bottom w:w="100" w:type="dxa"/>
              <w:end w:w="110" w:type="dxa"/>
            </w:tcMar>
            <w:vAlign w:val="center"/>
          </w:tcPr>
          <w:p>
            <w:pPr>
              <w:spacing w:after="0" w:line="240" w:lineRule="auto"/>
            </w:pPr>
            <w:r>
              <w:rPr>
                <w:rFonts w:ascii="Aptos" w:hAnsi="Aptos"/>
                <w:sz w:val="18"/>
              </w:rPr>
              <w:t>customer_segment_summary</w:t>
            </w:r>
          </w:p>
        </w:tc>
        <w:tc>
          <w:tcPr>
            <w:tcW w:type="dxa" w:w="6624"/>
            <w:tcMar>
              <w:top w:w="100" w:type="dxa"/>
              <w:start w:w="110" w:type="dxa"/>
              <w:bottom w:w="100" w:type="dxa"/>
              <w:end w:w="110" w:type="dxa"/>
            </w:tcMar>
            <w:vAlign w:val="center"/>
          </w:tcPr>
          <w:p>
            <w:pPr>
              <w:spacing w:after="0" w:line="240" w:lineRule="auto"/>
            </w:pPr>
            <w:r>
              <w:rPr>
                <w:rFonts w:ascii="Aptos" w:hAnsi="Aptos"/>
                <w:sz w:val="18"/>
              </w:rPr>
              <w:t>Segment counts values and average behavior</w:t>
            </w:r>
          </w:p>
        </w:tc>
      </w:tr>
    </w:tbl>
    <w:p>
      <w:pPr>
        <w:spacing w:after="0"/>
      </w:pPr>
    </w:p>
    <w:p>
      <w:pPr>
        <w:pStyle w:val="Heading1"/>
      </w:pPr>
      <w:r>
        <w:t>KPI definitions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cantSplit/>
          <w:tblHeader w:val="true"/>
        </w:trPr>
        <w:tc>
          <w:tcPr>
            <w:tcW w:type="dxa" w:w="1656"/>
            <w:tcMar>
              <w:top w:w="100" w:type="dxa"/>
              <w:start w:w="110" w:type="dxa"/>
              <w:bottom w:w="100" w:type="dxa"/>
              <w:end w:w="110" w:type="dxa"/>
            </w:tcMar>
            <w:vAlign w:val="center"/>
            <w:shd w:fill="1F4E78"/>
          </w:tcPr>
          <w:p>
            <w:pPr>
              <w:spacing w:after="0" w:line="240" w:lineRule="auto"/>
            </w:pPr>
            <w:r>
              <w:rPr>
                <w:rFonts w:ascii="Aptos" w:hAnsi="Aptos"/>
                <w:b/>
                <w:color w:val="FFFFFF"/>
                <w:sz w:val="18"/>
              </w:rPr>
              <w:t>KPI</w:t>
            </w:r>
          </w:p>
        </w:tc>
        <w:tc>
          <w:tcPr>
            <w:tcW w:type="dxa" w:w="3672"/>
            <w:tcMar>
              <w:top w:w="100" w:type="dxa"/>
              <w:start w:w="110" w:type="dxa"/>
              <w:bottom w:w="100" w:type="dxa"/>
              <w:end w:w="110" w:type="dxa"/>
            </w:tcMar>
            <w:vAlign w:val="center"/>
            <w:shd w:fill="1F4E78"/>
          </w:tcPr>
          <w:p>
            <w:pPr>
              <w:spacing w:after="0" w:line="240" w:lineRule="auto"/>
            </w:pPr>
            <w:r>
              <w:rPr>
                <w:rFonts w:ascii="Aptos" w:hAnsi="Aptos"/>
                <w:b/>
                <w:color w:val="FFFFFF"/>
                <w:sz w:val="18"/>
              </w:rPr>
              <w:t>Definition</w:t>
            </w:r>
          </w:p>
        </w:tc>
        <w:tc>
          <w:tcPr>
            <w:tcW w:type="dxa" w:w="1800"/>
            <w:tcMar>
              <w:top w:w="100" w:type="dxa"/>
              <w:start w:w="110" w:type="dxa"/>
              <w:bottom w:w="100" w:type="dxa"/>
              <w:end w:w="110" w:type="dxa"/>
            </w:tcMar>
            <w:vAlign w:val="center"/>
            <w:shd w:fill="1F4E78"/>
          </w:tcPr>
          <w:p>
            <w:pPr>
              <w:spacing w:after="0" w:line="240" w:lineRule="auto"/>
            </w:pPr>
            <w:r>
              <w:rPr>
                <w:rFonts w:ascii="Aptos" w:hAnsi="Aptos"/>
                <w:b/>
                <w:color w:val="FFFFFF"/>
                <w:sz w:val="18"/>
              </w:rPr>
              <w:t>Result</w:t>
            </w:r>
          </w:p>
        </w:tc>
        <w:tc>
          <w:tcPr>
            <w:tcW w:type="dxa" w:w="2736"/>
            <w:tcMar>
              <w:top w:w="100" w:type="dxa"/>
              <w:start w:w="110" w:type="dxa"/>
              <w:bottom w:w="100" w:type="dxa"/>
              <w:end w:w="110" w:type="dxa"/>
            </w:tcMar>
            <w:vAlign w:val="center"/>
            <w:shd w:fill="1F4E78"/>
          </w:tcPr>
          <w:p>
            <w:pPr>
              <w:spacing w:after="0" w:line="240" w:lineRule="auto"/>
            </w:pPr>
            <w:r>
              <w:rPr>
                <w:rFonts w:ascii="Aptos" w:hAnsi="Aptos"/>
                <w:b/>
                <w:color w:val="FFFFFF"/>
                <w:sz w:val="18"/>
              </w:rPr>
              <w:t>Source columns</w:t>
            </w:r>
          </w:p>
        </w:tc>
      </w:tr>
      <w:tr>
        <w:trPr>
          <w:cantSplit/>
        </w:trPr>
        <w:tc>
          <w:tcPr>
            <w:tcW w:type="dxa" w:w="1656"/>
            <w:tcMar>
              <w:top w:w="100" w:type="dxa"/>
              <w:start w:w="110" w:type="dxa"/>
              <w:bottom w:w="100" w:type="dxa"/>
              <w:end w:w="110" w:type="dxa"/>
            </w:tcMar>
            <w:vAlign w:val="center"/>
          </w:tcPr>
          <w:p>
            <w:pPr>
              <w:spacing w:after="0" w:line="240" w:lineRule="auto"/>
            </w:pPr>
            <w:r>
              <w:rPr>
                <w:rFonts w:ascii="Aptos" w:hAnsi="Aptos"/>
                <w:sz w:val="18"/>
              </w:rPr>
              <w:t>Gross sales</w:t>
            </w:r>
          </w:p>
        </w:tc>
        <w:tc>
          <w:tcPr>
            <w:tcW w:type="dxa" w:w="3672"/>
            <w:tcMar>
              <w:top w:w="100" w:type="dxa"/>
              <w:start w:w="110" w:type="dxa"/>
              <w:bottom w:w="100" w:type="dxa"/>
              <w:end w:w="110" w:type="dxa"/>
            </w:tcMar>
            <w:vAlign w:val="center"/>
          </w:tcPr>
          <w:p>
            <w:pPr>
              <w:spacing w:after="0" w:line="240" w:lineRule="auto"/>
            </w:pPr>
            <w:r>
              <w:rPr>
                <w:rFonts w:ascii="Aptos" w:hAnsi="Aptos"/>
                <w:sz w:val="18"/>
              </w:rPr>
              <w:t>Sum of positive signed merchandise values</w:t>
            </w:r>
          </w:p>
        </w:tc>
        <w:tc>
          <w:tcPr>
            <w:tcW w:type="dxa" w:w="1800"/>
            <w:tcMar>
              <w:top w:w="100" w:type="dxa"/>
              <w:start w:w="110" w:type="dxa"/>
              <w:bottom w:w="100" w:type="dxa"/>
              <w:end w:w="110" w:type="dxa"/>
            </w:tcMar>
            <w:vAlign w:val="center"/>
          </w:tcPr>
          <w:p>
            <w:pPr>
              <w:spacing w:after="0" w:line="240" w:lineRule="auto"/>
            </w:pPr>
            <w:r>
              <w:rPr>
                <w:rFonts w:ascii="Aptos" w:hAnsi="Aptos"/>
                <w:sz w:val="18"/>
              </w:rPr>
              <w:t>£20,110,181.02</w:t>
            </w:r>
          </w:p>
        </w:tc>
        <w:tc>
          <w:tcPr>
            <w:tcW w:type="dxa" w:w="2736"/>
            <w:tcMar>
              <w:top w:w="100" w:type="dxa"/>
              <w:start w:w="110" w:type="dxa"/>
              <w:bottom w:w="100" w:type="dxa"/>
              <w:end w:w="110" w:type="dxa"/>
            </w:tcMar>
            <w:vAlign w:val="center"/>
          </w:tcPr>
          <w:p>
            <w:pPr>
              <w:spacing w:after="0" w:line="240" w:lineRule="auto"/>
            </w:pPr>
            <w:r>
              <w:rPr>
                <w:rFonts w:ascii="Aptos" w:hAnsi="Aptos"/>
                <w:sz w:val="18"/>
              </w:rPr>
              <w:t>product_transactions quantity signed_value_gbp</w:t>
            </w:r>
          </w:p>
        </w:tc>
      </w:tr>
      <w:tr>
        <w:trPr>
          <w:cantSplit/>
        </w:trPr>
        <w:tc>
          <w:tcPr>
            <w:tcW w:type="dxa" w:w="1656"/>
            <w:tcMar>
              <w:top w:w="100" w:type="dxa"/>
              <w:start w:w="110" w:type="dxa"/>
              <w:bottom w:w="100" w:type="dxa"/>
              <w:end w:w="110" w:type="dxa"/>
            </w:tcMar>
            <w:vAlign w:val="center"/>
            <w:shd w:fill="EAF2F8"/>
          </w:tcPr>
          <w:p>
            <w:pPr>
              <w:spacing w:after="0" w:line="240" w:lineRule="auto"/>
            </w:pPr>
            <w:r>
              <w:rPr>
                <w:rFonts w:ascii="Aptos" w:hAnsi="Aptos"/>
                <w:sz w:val="18"/>
              </w:rPr>
              <w:t>Product credits</w:t>
            </w:r>
          </w:p>
        </w:tc>
        <w:tc>
          <w:tcPr>
            <w:tcW w:type="dxa" w:w="3672"/>
            <w:tcMar>
              <w:top w:w="100" w:type="dxa"/>
              <w:start w:w="110" w:type="dxa"/>
              <w:bottom w:w="100" w:type="dxa"/>
              <w:end w:w="110" w:type="dxa"/>
            </w:tcMar>
            <w:vAlign w:val="center"/>
            <w:shd w:fill="EAF2F8"/>
          </w:tcPr>
          <w:p>
            <w:pPr>
              <w:spacing w:after="0" w:line="240" w:lineRule="auto"/>
            </w:pPr>
            <w:r>
              <w:rPr>
                <w:rFonts w:ascii="Aptos" w:hAnsi="Aptos"/>
                <w:sz w:val="18"/>
              </w:rPr>
              <w:t>Absolute value of negative signed merchandise values</w:t>
            </w:r>
          </w:p>
        </w:tc>
        <w:tc>
          <w:tcPr>
            <w:tcW w:type="dxa" w:w="1800"/>
            <w:tcMar>
              <w:top w:w="100" w:type="dxa"/>
              <w:start w:w="110" w:type="dxa"/>
              <w:bottom w:w="100" w:type="dxa"/>
              <w:end w:w="110" w:type="dxa"/>
            </w:tcMar>
            <w:vAlign w:val="center"/>
            <w:shd w:fill="EAF2F8"/>
          </w:tcPr>
          <w:p>
            <w:pPr>
              <w:spacing w:after="0" w:line="240" w:lineRule="auto"/>
            </w:pPr>
            <w:r>
              <w:rPr>
                <w:rFonts w:ascii="Aptos" w:hAnsi="Aptos"/>
                <w:sz w:val="18"/>
              </w:rPr>
              <w:t>£726,555.99</w:t>
            </w:r>
          </w:p>
        </w:tc>
        <w:tc>
          <w:tcPr>
            <w:tcW w:type="dxa" w:w="2736"/>
            <w:tcMar>
              <w:top w:w="100" w:type="dxa"/>
              <w:start w:w="110" w:type="dxa"/>
              <w:bottom w:w="100" w:type="dxa"/>
              <w:end w:w="110" w:type="dxa"/>
            </w:tcMar>
            <w:vAlign w:val="center"/>
            <w:shd w:fill="EAF2F8"/>
          </w:tcPr>
          <w:p>
            <w:pPr>
              <w:spacing w:after="0" w:line="240" w:lineRule="auto"/>
            </w:pPr>
            <w:r>
              <w:rPr>
                <w:rFonts w:ascii="Aptos" w:hAnsi="Aptos"/>
                <w:sz w:val="18"/>
              </w:rPr>
              <w:t>product_transactions quantity signed_value_gbp</w:t>
            </w:r>
          </w:p>
        </w:tc>
      </w:tr>
      <w:tr>
        <w:trPr>
          <w:cantSplit/>
        </w:trPr>
        <w:tc>
          <w:tcPr>
            <w:tcW w:type="dxa" w:w="1656"/>
            <w:tcMar>
              <w:top w:w="100" w:type="dxa"/>
              <w:start w:w="110" w:type="dxa"/>
              <w:bottom w:w="100" w:type="dxa"/>
              <w:end w:w="110" w:type="dxa"/>
            </w:tcMar>
            <w:vAlign w:val="center"/>
          </w:tcPr>
          <w:p>
            <w:pPr>
              <w:spacing w:after="0" w:line="240" w:lineRule="auto"/>
            </w:pPr>
            <w:r>
              <w:rPr>
                <w:rFonts w:ascii="Aptos" w:hAnsi="Aptos"/>
                <w:sz w:val="18"/>
              </w:rPr>
              <w:t>Net sales</w:t>
            </w:r>
          </w:p>
        </w:tc>
        <w:tc>
          <w:tcPr>
            <w:tcW w:type="dxa" w:w="3672"/>
            <w:tcMar>
              <w:top w:w="100" w:type="dxa"/>
              <w:start w:w="110" w:type="dxa"/>
              <w:bottom w:w="100" w:type="dxa"/>
              <w:end w:w="110" w:type="dxa"/>
            </w:tcMar>
            <w:vAlign w:val="center"/>
          </w:tcPr>
          <w:p>
            <w:pPr>
              <w:spacing w:after="0" w:line="240" w:lineRule="auto"/>
            </w:pPr>
            <w:r>
              <w:rPr>
                <w:rFonts w:ascii="Aptos" w:hAnsi="Aptos"/>
                <w:sz w:val="18"/>
              </w:rPr>
              <w:t>Gross sales minus product credits</w:t>
            </w:r>
          </w:p>
        </w:tc>
        <w:tc>
          <w:tcPr>
            <w:tcW w:type="dxa" w:w="1800"/>
            <w:tcMar>
              <w:top w:w="100" w:type="dxa"/>
              <w:start w:w="110" w:type="dxa"/>
              <w:bottom w:w="100" w:type="dxa"/>
              <w:end w:w="110" w:type="dxa"/>
            </w:tcMar>
            <w:vAlign w:val="center"/>
          </w:tcPr>
          <w:p>
            <w:pPr>
              <w:spacing w:after="0" w:line="240" w:lineRule="auto"/>
            </w:pPr>
            <w:r>
              <w:rPr>
                <w:rFonts w:ascii="Aptos" w:hAnsi="Aptos"/>
                <w:sz w:val="18"/>
              </w:rPr>
              <w:t>£19,383,625.03</w:t>
            </w:r>
          </w:p>
        </w:tc>
        <w:tc>
          <w:tcPr>
            <w:tcW w:type="dxa" w:w="2736"/>
            <w:tcMar>
              <w:top w:w="100" w:type="dxa"/>
              <w:start w:w="110" w:type="dxa"/>
              <w:bottom w:w="100" w:type="dxa"/>
              <w:end w:w="110" w:type="dxa"/>
            </w:tcMar>
            <w:vAlign w:val="center"/>
          </w:tcPr>
          <w:p>
            <w:pPr>
              <w:spacing w:after="0" w:line="240" w:lineRule="auto"/>
            </w:pPr>
            <w:r>
              <w:rPr>
                <w:rFonts w:ascii="Aptos" w:hAnsi="Aptos"/>
                <w:sz w:val="18"/>
              </w:rPr>
              <w:t>product_transactions signed_value_gbp</w:t>
            </w:r>
          </w:p>
        </w:tc>
      </w:tr>
      <w:tr>
        <w:trPr>
          <w:cantSplit/>
        </w:trPr>
        <w:tc>
          <w:tcPr>
            <w:tcW w:type="dxa" w:w="1656"/>
            <w:tcMar>
              <w:top w:w="100" w:type="dxa"/>
              <w:start w:w="110" w:type="dxa"/>
              <w:bottom w:w="100" w:type="dxa"/>
              <w:end w:w="110" w:type="dxa"/>
            </w:tcMar>
            <w:vAlign w:val="center"/>
            <w:shd w:fill="EAF2F8"/>
          </w:tcPr>
          <w:p>
            <w:pPr>
              <w:spacing w:after="0" w:line="240" w:lineRule="auto"/>
            </w:pPr>
            <w:r>
              <w:rPr>
                <w:rFonts w:ascii="Aptos" w:hAnsi="Aptos"/>
                <w:sz w:val="18"/>
              </w:rPr>
              <w:t>Net units</w:t>
            </w:r>
          </w:p>
        </w:tc>
        <w:tc>
          <w:tcPr>
            <w:tcW w:type="dxa" w:w="3672"/>
            <w:tcMar>
              <w:top w:w="100" w:type="dxa"/>
              <w:start w:w="110" w:type="dxa"/>
              <w:bottom w:w="100" w:type="dxa"/>
              <w:end w:w="110" w:type="dxa"/>
            </w:tcMar>
            <w:vAlign w:val="center"/>
            <w:shd w:fill="EAF2F8"/>
          </w:tcPr>
          <w:p>
            <w:pPr>
              <w:spacing w:after="0" w:line="240" w:lineRule="auto"/>
            </w:pPr>
            <w:r>
              <w:rPr>
                <w:rFonts w:ascii="Aptos" w:hAnsi="Aptos"/>
                <w:sz w:val="18"/>
              </w:rPr>
              <w:t>Sum of signed quantities by stock code</w:t>
            </w:r>
          </w:p>
        </w:tc>
        <w:tc>
          <w:tcPr>
            <w:tcW w:type="dxa" w:w="1800"/>
            <w:tcMar>
              <w:top w:w="100" w:type="dxa"/>
              <w:start w:w="110" w:type="dxa"/>
              <w:bottom w:w="100" w:type="dxa"/>
              <w:end w:w="110" w:type="dxa"/>
            </w:tcMar>
            <w:vAlign w:val="center"/>
            <w:shd w:fill="EAF2F8"/>
          </w:tcPr>
          <w:p>
            <w:pPr>
              <w:spacing w:after="0" w:line="240" w:lineRule="auto"/>
            </w:pPr>
            <w:r>
              <w:rPr>
                <w:rFonts w:ascii="Aptos" w:hAnsi="Aptos"/>
                <w:sz w:val="18"/>
              </w:rPr>
              <w:t>Varies by product</w:t>
            </w:r>
          </w:p>
        </w:tc>
        <w:tc>
          <w:tcPr>
            <w:tcW w:type="dxa" w:w="2736"/>
            <w:tcMar>
              <w:top w:w="100" w:type="dxa"/>
              <w:start w:w="110" w:type="dxa"/>
              <w:bottom w:w="100" w:type="dxa"/>
              <w:end w:w="110" w:type="dxa"/>
            </w:tcMar>
            <w:vAlign w:val="center"/>
            <w:shd w:fill="EAF2F8"/>
          </w:tcPr>
          <w:p>
            <w:pPr>
              <w:spacing w:after="0" w:line="240" w:lineRule="auto"/>
            </w:pPr>
            <w:r>
              <w:rPr>
                <w:rFonts w:ascii="Aptos" w:hAnsi="Aptos"/>
                <w:sz w:val="18"/>
              </w:rPr>
              <w:t>product_summary net_units</w:t>
            </w:r>
          </w:p>
        </w:tc>
      </w:tr>
      <w:tr>
        <w:trPr>
          <w:cantSplit/>
        </w:trPr>
        <w:tc>
          <w:tcPr>
            <w:tcW w:type="dxa" w:w="1656"/>
            <w:tcMar>
              <w:top w:w="100" w:type="dxa"/>
              <w:start w:w="110" w:type="dxa"/>
              <w:bottom w:w="100" w:type="dxa"/>
              <w:end w:w="110" w:type="dxa"/>
            </w:tcMar>
            <w:vAlign w:val="center"/>
          </w:tcPr>
          <w:p>
            <w:pPr>
              <w:spacing w:after="0" w:line="240" w:lineRule="auto"/>
            </w:pPr>
            <w:r>
              <w:rPr>
                <w:rFonts w:ascii="Aptos" w:hAnsi="Aptos"/>
                <w:sz w:val="18"/>
              </w:rPr>
              <w:t>Identified customers</w:t>
            </w:r>
          </w:p>
        </w:tc>
        <w:tc>
          <w:tcPr>
            <w:tcW w:type="dxa" w:w="3672"/>
            <w:tcMar>
              <w:top w:w="100" w:type="dxa"/>
              <w:start w:w="110" w:type="dxa"/>
              <w:bottom w:w="100" w:type="dxa"/>
              <w:end w:w="110" w:type="dxa"/>
            </w:tcMar>
            <w:vAlign w:val="center"/>
          </w:tcPr>
          <w:p>
            <w:pPr>
              <w:spacing w:after="0" w:line="240" w:lineRule="auto"/>
            </w:pPr>
            <w:r>
              <w:rPr>
                <w:rFonts w:ascii="Aptos" w:hAnsi="Aptos"/>
                <w:sz w:val="18"/>
              </w:rPr>
              <w:t>Customers with at least one qualifying positive purchase</w:t>
            </w:r>
          </w:p>
        </w:tc>
        <w:tc>
          <w:tcPr>
            <w:tcW w:type="dxa" w:w="1800"/>
            <w:tcMar>
              <w:top w:w="100" w:type="dxa"/>
              <w:start w:w="110" w:type="dxa"/>
              <w:bottom w:w="100" w:type="dxa"/>
              <w:end w:w="110" w:type="dxa"/>
            </w:tcMar>
            <w:vAlign w:val="center"/>
          </w:tcPr>
          <w:p>
            <w:pPr>
              <w:spacing w:after="0" w:line="240" w:lineRule="auto"/>
            </w:pPr>
            <w:r>
              <w:rPr>
                <w:rFonts w:ascii="Aptos" w:hAnsi="Aptos"/>
                <w:sz w:val="18"/>
              </w:rPr>
              <w:t>5,852</w:t>
            </w:r>
          </w:p>
        </w:tc>
        <w:tc>
          <w:tcPr>
            <w:tcW w:type="dxa" w:w="2736"/>
            <w:tcMar>
              <w:top w:w="100" w:type="dxa"/>
              <w:start w:w="110" w:type="dxa"/>
              <w:bottom w:w="100" w:type="dxa"/>
              <w:end w:w="110" w:type="dxa"/>
            </w:tcMar>
            <w:vAlign w:val="center"/>
          </w:tcPr>
          <w:p>
            <w:pPr>
              <w:spacing w:after="0" w:line="240" w:lineRule="auto"/>
            </w:pPr>
            <w:r>
              <w:rPr>
                <w:rFonts w:ascii="Aptos" w:hAnsi="Aptos"/>
                <w:sz w:val="18"/>
              </w:rPr>
              <w:t>customer_rfm_net customer_id</w:t>
            </w:r>
          </w:p>
        </w:tc>
      </w:tr>
      <w:tr>
        <w:trPr>
          <w:cantSplit/>
        </w:trPr>
        <w:tc>
          <w:tcPr>
            <w:tcW w:type="dxa" w:w="1656"/>
            <w:tcMar>
              <w:top w:w="100" w:type="dxa"/>
              <w:start w:w="110" w:type="dxa"/>
              <w:bottom w:w="100" w:type="dxa"/>
              <w:end w:w="110" w:type="dxa"/>
            </w:tcMar>
            <w:vAlign w:val="center"/>
            <w:shd w:fill="EAF2F8"/>
          </w:tcPr>
          <w:p>
            <w:pPr>
              <w:spacing w:after="0" w:line="240" w:lineRule="auto"/>
            </w:pPr>
            <w:r>
              <w:rPr>
                <w:rFonts w:ascii="Aptos" w:hAnsi="Aptos"/>
                <w:sz w:val="18"/>
              </w:rPr>
              <w:t>Recency</w:t>
            </w:r>
          </w:p>
        </w:tc>
        <w:tc>
          <w:tcPr>
            <w:tcW w:type="dxa" w:w="3672"/>
            <w:tcMar>
              <w:top w:w="100" w:type="dxa"/>
              <w:start w:w="110" w:type="dxa"/>
              <w:bottom w:w="100" w:type="dxa"/>
              <w:end w:w="110" w:type="dxa"/>
            </w:tcMar>
            <w:vAlign w:val="center"/>
            <w:shd w:fill="EAF2F8"/>
          </w:tcPr>
          <w:p>
            <w:pPr>
              <w:spacing w:after="0" w:line="240" w:lineRule="auto"/>
            </w:pPr>
            <w:r>
              <w:rPr>
                <w:rFonts w:ascii="Aptos" w:hAnsi="Aptos"/>
                <w:sz w:val="18"/>
              </w:rPr>
              <w:t>Days from last positive purchase to 10 December 2011</w:t>
            </w:r>
          </w:p>
        </w:tc>
        <w:tc>
          <w:tcPr>
            <w:tcW w:type="dxa" w:w="1800"/>
            <w:tcMar>
              <w:top w:w="100" w:type="dxa"/>
              <w:start w:w="110" w:type="dxa"/>
              <w:bottom w:w="100" w:type="dxa"/>
              <w:end w:w="110" w:type="dxa"/>
            </w:tcMar>
            <w:vAlign w:val="center"/>
            <w:shd w:fill="EAF2F8"/>
          </w:tcPr>
          <w:p>
            <w:pPr>
              <w:spacing w:after="0" w:line="240" w:lineRule="auto"/>
            </w:pPr>
            <w:r>
              <w:rPr>
                <w:rFonts w:ascii="Aptos" w:hAnsi="Aptos"/>
                <w:sz w:val="18"/>
              </w:rPr>
              <w:t>Customer level</w:t>
            </w:r>
          </w:p>
        </w:tc>
        <w:tc>
          <w:tcPr>
            <w:tcW w:type="dxa" w:w="2736"/>
            <w:tcMar>
              <w:top w:w="100" w:type="dxa"/>
              <w:start w:w="110" w:type="dxa"/>
              <w:bottom w:w="100" w:type="dxa"/>
              <w:end w:w="110" w:type="dxa"/>
            </w:tcMar>
            <w:vAlign w:val="center"/>
            <w:shd w:fill="EAF2F8"/>
          </w:tcPr>
          <w:p>
            <w:pPr>
              <w:spacing w:after="0" w:line="240" w:lineRule="auto"/>
            </w:pPr>
            <w:r>
              <w:rPr>
                <w:rFonts w:ascii="Aptos" w:hAnsi="Aptos"/>
                <w:sz w:val="18"/>
              </w:rPr>
              <w:t>customer_rfm_net recency_days</w:t>
            </w:r>
          </w:p>
        </w:tc>
      </w:tr>
      <w:tr>
        <w:trPr>
          <w:cantSplit/>
        </w:trPr>
        <w:tc>
          <w:tcPr>
            <w:tcW w:type="dxa" w:w="1656"/>
            <w:tcMar>
              <w:top w:w="100" w:type="dxa"/>
              <w:start w:w="110" w:type="dxa"/>
              <w:bottom w:w="100" w:type="dxa"/>
              <w:end w:w="110" w:type="dxa"/>
            </w:tcMar>
            <w:vAlign w:val="center"/>
          </w:tcPr>
          <w:p>
            <w:pPr>
              <w:spacing w:after="0" w:line="240" w:lineRule="auto"/>
            </w:pPr>
            <w:r>
              <w:rPr>
                <w:rFonts w:ascii="Aptos" w:hAnsi="Aptos"/>
                <w:sz w:val="18"/>
              </w:rPr>
              <w:t>Frequency</w:t>
            </w:r>
          </w:p>
        </w:tc>
        <w:tc>
          <w:tcPr>
            <w:tcW w:type="dxa" w:w="3672"/>
            <w:tcMar>
              <w:top w:w="100" w:type="dxa"/>
              <w:start w:w="110" w:type="dxa"/>
              <w:bottom w:w="100" w:type="dxa"/>
              <w:end w:w="110" w:type="dxa"/>
            </w:tcMar>
            <w:vAlign w:val="center"/>
          </w:tcPr>
          <w:p>
            <w:pPr>
              <w:spacing w:after="0" w:line="240" w:lineRule="auto"/>
            </w:pPr>
            <w:r>
              <w:rPr>
                <w:rFonts w:ascii="Aptos" w:hAnsi="Aptos"/>
                <w:sz w:val="18"/>
              </w:rPr>
              <w:t>Distinct positive purchase invoices</w:t>
            </w:r>
          </w:p>
        </w:tc>
        <w:tc>
          <w:tcPr>
            <w:tcW w:type="dxa" w:w="1800"/>
            <w:tcMar>
              <w:top w:w="100" w:type="dxa"/>
              <w:start w:w="110" w:type="dxa"/>
              <w:bottom w:w="100" w:type="dxa"/>
              <w:end w:w="110" w:type="dxa"/>
            </w:tcMar>
            <w:vAlign w:val="center"/>
          </w:tcPr>
          <w:p>
            <w:pPr>
              <w:spacing w:after="0" w:line="240" w:lineRule="auto"/>
            </w:pPr>
            <w:r>
              <w:rPr>
                <w:rFonts w:ascii="Aptos" w:hAnsi="Aptos"/>
                <w:sz w:val="18"/>
              </w:rPr>
              <w:t>Customer level</w:t>
            </w:r>
          </w:p>
        </w:tc>
        <w:tc>
          <w:tcPr>
            <w:tcW w:type="dxa" w:w="2736"/>
            <w:tcMar>
              <w:top w:w="100" w:type="dxa"/>
              <w:start w:w="110" w:type="dxa"/>
              <w:bottom w:w="100" w:type="dxa"/>
              <w:end w:w="110" w:type="dxa"/>
            </w:tcMar>
            <w:vAlign w:val="center"/>
          </w:tcPr>
          <w:p>
            <w:pPr>
              <w:spacing w:after="0" w:line="240" w:lineRule="auto"/>
            </w:pPr>
            <w:r>
              <w:rPr>
                <w:rFonts w:ascii="Aptos" w:hAnsi="Aptos"/>
                <w:sz w:val="18"/>
              </w:rPr>
              <w:t>customer_rfm_net frequency</w:t>
            </w:r>
          </w:p>
        </w:tc>
      </w:tr>
      <w:tr>
        <w:trPr>
          <w:cantSplit/>
        </w:trPr>
        <w:tc>
          <w:tcPr>
            <w:tcW w:type="dxa" w:w="1656"/>
            <w:tcMar>
              <w:top w:w="100" w:type="dxa"/>
              <w:start w:w="110" w:type="dxa"/>
              <w:bottom w:w="100" w:type="dxa"/>
              <w:end w:w="110" w:type="dxa"/>
            </w:tcMar>
            <w:vAlign w:val="center"/>
            <w:shd w:fill="EAF2F8"/>
          </w:tcPr>
          <w:p>
            <w:pPr>
              <w:spacing w:after="0" w:line="240" w:lineRule="auto"/>
            </w:pPr>
            <w:r>
              <w:rPr>
                <w:rFonts w:ascii="Aptos" w:hAnsi="Aptos"/>
                <w:sz w:val="18"/>
              </w:rPr>
              <w:t>Monetary</w:t>
            </w:r>
          </w:p>
        </w:tc>
        <w:tc>
          <w:tcPr>
            <w:tcW w:type="dxa" w:w="3672"/>
            <w:tcMar>
              <w:top w:w="100" w:type="dxa"/>
              <w:start w:w="110" w:type="dxa"/>
              <w:bottom w:w="100" w:type="dxa"/>
              <w:end w:w="110" w:type="dxa"/>
            </w:tcMar>
            <w:vAlign w:val="center"/>
            <w:shd w:fill="EAF2F8"/>
          </w:tcPr>
          <w:p>
            <w:pPr>
              <w:spacing w:after="0" w:line="240" w:lineRule="auto"/>
            </w:pPr>
            <w:r>
              <w:rPr>
                <w:rFonts w:ascii="Aptos" w:hAnsi="Aptos"/>
                <w:sz w:val="18"/>
              </w:rPr>
              <w:t>Net merchandise value after credits</w:t>
            </w:r>
          </w:p>
        </w:tc>
        <w:tc>
          <w:tcPr>
            <w:tcW w:type="dxa" w:w="1800"/>
            <w:tcMar>
              <w:top w:w="100" w:type="dxa"/>
              <w:start w:w="110" w:type="dxa"/>
              <w:bottom w:w="100" w:type="dxa"/>
              <w:end w:w="110" w:type="dxa"/>
            </w:tcMar>
            <w:vAlign w:val="center"/>
            <w:shd w:fill="EAF2F8"/>
          </w:tcPr>
          <w:p>
            <w:pPr>
              <w:spacing w:after="0" w:line="240" w:lineRule="auto"/>
            </w:pPr>
            <w:r>
              <w:rPr>
                <w:rFonts w:ascii="Aptos" w:hAnsi="Aptos"/>
                <w:sz w:val="18"/>
              </w:rPr>
              <w:t>Customer level</w:t>
            </w:r>
          </w:p>
        </w:tc>
        <w:tc>
          <w:tcPr>
            <w:tcW w:type="dxa" w:w="2736"/>
            <w:tcMar>
              <w:top w:w="100" w:type="dxa"/>
              <w:start w:w="110" w:type="dxa"/>
              <w:bottom w:w="100" w:type="dxa"/>
              <w:end w:w="110" w:type="dxa"/>
            </w:tcMar>
            <w:vAlign w:val="center"/>
            <w:shd w:fill="EAF2F8"/>
          </w:tcPr>
          <w:p>
            <w:pPr>
              <w:spacing w:after="0" w:line="240" w:lineRule="auto"/>
            </w:pPr>
            <w:r>
              <w:rPr>
                <w:rFonts w:ascii="Aptos" w:hAnsi="Aptos"/>
                <w:sz w:val="18"/>
              </w:rPr>
              <w:t>customer_rfm_net monetary_net_gbp</w:t>
            </w:r>
          </w:p>
        </w:tc>
      </w:tr>
    </w:tbl>
    <w:p>
      <w:pPr>
        <w:spacing w:after="0"/>
      </w:pPr>
    </w:p>
    <w:p>
      <w:pPr>
        <w:pStyle w:val="Heading1"/>
      </w:pPr>
      <w:r>
        <w:t>RFM score thresholds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blHeader w:val="true"/>
        </w:trPr>
        <w:tc>
          <w:tcPr>
            <w:tcW w:type="dxa" w:w="2232"/>
            <w:tcMar>
              <w:top w:w="100" w:type="dxa"/>
              <w:start w:w="110" w:type="dxa"/>
              <w:bottom w:w="100" w:type="dxa"/>
              <w:end w:w="110" w:type="dxa"/>
            </w:tcMar>
            <w:vAlign w:val="center"/>
            <w:shd w:fill="1F4E78"/>
          </w:tcPr>
          <w:p>
            <w:pPr>
              <w:spacing w:after="0" w:line="240" w:lineRule="auto"/>
            </w:pPr>
            <w:r>
              <w:rPr>
                <w:rFonts w:ascii="Aptos" w:hAnsi="Aptos"/>
                <w:b/>
                <w:color w:val="FFFFFF"/>
                <w:sz w:val="18"/>
              </w:rPr>
              <w:t>Score</w:t>
            </w:r>
          </w:p>
        </w:tc>
        <w:tc>
          <w:tcPr>
            <w:tcW w:type="dxa" w:w="7632"/>
            <w:tcMar>
              <w:top w:w="100" w:type="dxa"/>
              <w:start w:w="110" w:type="dxa"/>
              <w:bottom w:w="100" w:type="dxa"/>
              <w:end w:w="110" w:type="dxa"/>
            </w:tcMar>
            <w:vAlign w:val="center"/>
            <w:shd w:fill="1F4E78"/>
          </w:tcPr>
          <w:p>
            <w:pPr>
              <w:spacing w:after="0" w:line="240" w:lineRule="auto"/>
            </w:pPr>
            <w:r>
              <w:rPr>
                <w:rFonts w:ascii="Aptos" w:hAnsi="Aptos"/>
                <w:b/>
                <w:color w:val="FFFFFF"/>
                <w:sz w:val="18"/>
              </w:rPr>
              <w:t>Project threshold</w:t>
            </w:r>
          </w:p>
        </w:tc>
      </w:tr>
      <w:tr>
        <w:trPr>
          <w:cantSplit/>
        </w:trPr>
        <w:tc>
          <w:tcPr>
            <w:tcW w:type="dxa" w:w="2232"/>
            <w:tcMar>
              <w:top w:w="100" w:type="dxa"/>
              <w:start w:w="110" w:type="dxa"/>
              <w:bottom w:w="100" w:type="dxa"/>
              <w:end w:w="110" w:type="dxa"/>
            </w:tcMar>
            <w:vAlign w:val="center"/>
          </w:tcPr>
          <w:p>
            <w:pPr>
              <w:spacing w:after="0" w:line="240" w:lineRule="auto"/>
            </w:pPr>
            <w:r>
              <w:rPr>
                <w:rFonts w:ascii="Aptos" w:hAnsi="Aptos"/>
                <w:sz w:val="18"/>
              </w:rPr>
              <w:t>Recency score</w:t>
            </w:r>
          </w:p>
        </w:tc>
        <w:tc>
          <w:tcPr>
            <w:tcW w:type="dxa" w:w="7632"/>
            <w:tcMar>
              <w:top w:w="100" w:type="dxa"/>
              <w:start w:w="110" w:type="dxa"/>
              <w:bottom w:w="100" w:type="dxa"/>
              <w:end w:w="110" w:type="dxa"/>
            </w:tcMar>
            <w:vAlign w:val="center"/>
          </w:tcPr>
          <w:p>
            <w:pPr>
              <w:spacing w:after="0" w:line="240" w:lineRule="auto"/>
            </w:pPr>
            <w:r>
              <w:rPr>
                <w:rFonts w:ascii="Aptos" w:hAnsi="Aptos"/>
                <w:sz w:val="18"/>
              </w:rPr>
              <w:t>5: 0-30 days; 4: 31-90; 3: 91-180; 2: 181-365; 1: over 365</w:t>
            </w:r>
          </w:p>
        </w:tc>
      </w:tr>
      <w:tr>
        <w:trPr>
          <w:cantSplit/>
        </w:trPr>
        <w:tc>
          <w:tcPr>
            <w:tcW w:type="dxa" w:w="2232"/>
            <w:tcMar>
              <w:top w:w="100" w:type="dxa"/>
              <w:start w:w="110" w:type="dxa"/>
              <w:bottom w:w="100" w:type="dxa"/>
              <w:end w:w="110" w:type="dxa"/>
            </w:tcMar>
            <w:vAlign w:val="center"/>
            <w:shd w:fill="EAF2F8"/>
          </w:tcPr>
          <w:p>
            <w:pPr>
              <w:spacing w:after="0" w:line="240" w:lineRule="auto"/>
            </w:pPr>
            <w:r>
              <w:rPr>
                <w:rFonts w:ascii="Aptos" w:hAnsi="Aptos"/>
                <w:sz w:val="18"/>
              </w:rPr>
              <w:t>Frequency score</w:t>
            </w:r>
          </w:p>
        </w:tc>
        <w:tc>
          <w:tcPr>
            <w:tcW w:type="dxa" w:w="7632"/>
            <w:tcMar>
              <w:top w:w="100" w:type="dxa"/>
              <w:start w:w="110" w:type="dxa"/>
              <w:bottom w:w="100" w:type="dxa"/>
              <w:end w:w="110" w:type="dxa"/>
            </w:tcMar>
            <w:vAlign w:val="center"/>
            <w:shd w:fill="EAF2F8"/>
          </w:tcPr>
          <w:p>
            <w:pPr>
              <w:spacing w:after="0" w:line="240" w:lineRule="auto"/>
            </w:pPr>
            <w:r>
              <w:rPr>
                <w:rFonts w:ascii="Aptos" w:hAnsi="Aptos"/>
                <w:sz w:val="18"/>
              </w:rPr>
              <w:t>5: 20+ invoices; 4: 10-19; 3: 5-9; 2: 2-4; 1: one invoice</w:t>
            </w:r>
          </w:p>
        </w:tc>
      </w:tr>
      <w:tr>
        <w:trPr>
          <w:cantSplit/>
        </w:trPr>
        <w:tc>
          <w:tcPr>
            <w:tcW w:type="dxa" w:w="2232"/>
            <w:tcMar>
              <w:top w:w="100" w:type="dxa"/>
              <w:start w:w="110" w:type="dxa"/>
              <w:bottom w:w="100" w:type="dxa"/>
              <w:end w:w="110" w:type="dxa"/>
            </w:tcMar>
            <w:vAlign w:val="center"/>
          </w:tcPr>
          <w:p>
            <w:pPr>
              <w:spacing w:after="0" w:line="240" w:lineRule="auto"/>
            </w:pPr>
            <w:r>
              <w:rPr>
                <w:rFonts w:ascii="Aptos" w:hAnsi="Aptos"/>
                <w:sz w:val="18"/>
              </w:rPr>
              <w:t>Monetary score</w:t>
            </w:r>
          </w:p>
        </w:tc>
        <w:tc>
          <w:tcPr>
            <w:tcW w:type="dxa" w:w="7632"/>
            <w:tcMar>
              <w:top w:w="100" w:type="dxa"/>
              <w:start w:w="110" w:type="dxa"/>
              <w:bottom w:w="100" w:type="dxa"/>
              <w:end w:w="110" w:type="dxa"/>
            </w:tcMar>
            <w:vAlign w:val="center"/>
          </w:tcPr>
          <w:p>
            <w:pPr>
              <w:spacing w:after="0" w:line="240" w:lineRule="auto"/>
            </w:pPr>
            <w:r>
              <w:rPr>
                <w:rFonts w:ascii="Aptos" w:hAnsi="Aptos"/>
                <w:sz w:val="18"/>
              </w:rPr>
              <w:t>5: £10,000+; 4: £5,000-£9,999.99; 3: £1,000-£4,999.99; 2: £500-£999.99; 1: below £500</w:t>
            </w:r>
          </w:p>
        </w:tc>
      </w:tr>
    </w:tbl>
    <w:p>
      <w:pPr>
        <w:spacing w:after="0"/>
      </w:pPr>
    </w:p>
    <w:p>
      <w:r>
        <w:t>These thresholds are project assumptions chosen for interpretability. They are not universal retail standards and should be recalibrated for a different business, observation period or customer distribution.</w:t>
      </w:r>
    </w:p>
    <w:p>
      <w:pPr>
        <w:pStyle w:val="Heading1"/>
      </w:pPr>
      <w:r>
        <w:t>Power BI dashboard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1872"/>
            <w:tcMar>
              <w:top w:w="100" w:type="dxa"/>
              <w:start w:w="110" w:type="dxa"/>
              <w:bottom w:w="100" w:type="dxa"/>
              <w:end w:w="110" w:type="dxa"/>
            </w:tcMar>
            <w:vAlign w:val="center"/>
            <w:shd w:fill="1F4E78"/>
          </w:tcPr>
          <w:p>
            <w:pPr>
              <w:spacing w:after="0" w:line="240" w:lineRule="auto"/>
            </w:pPr>
            <w:r>
              <w:rPr>
                <w:rFonts w:ascii="Aptos" w:hAnsi="Aptos"/>
                <w:b/>
                <w:color w:val="FFFFFF"/>
                <w:sz w:val="18"/>
              </w:rPr>
              <w:t>Page</w:t>
            </w:r>
          </w:p>
        </w:tc>
        <w:tc>
          <w:tcPr>
            <w:tcW w:type="dxa" w:w="2880"/>
            <w:tcMar>
              <w:top w:w="100" w:type="dxa"/>
              <w:start w:w="110" w:type="dxa"/>
              <w:bottom w:w="100" w:type="dxa"/>
              <w:end w:w="110" w:type="dxa"/>
            </w:tcMar>
            <w:vAlign w:val="center"/>
            <w:shd w:fill="1F4E78"/>
          </w:tcPr>
          <w:p>
            <w:pPr>
              <w:spacing w:after="0" w:line="240" w:lineRule="auto"/>
            </w:pPr>
            <w:r>
              <w:rPr>
                <w:rFonts w:ascii="Aptos" w:hAnsi="Aptos"/>
                <w:b/>
                <w:color w:val="FFFFFF"/>
                <w:sz w:val="18"/>
              </w:rPr>
              <w:t>Visuals</w:t>
            </w:r>
          </w:p>
        </w:tc>
        <w:tc>
          <w:tcPr>
            <w:tcW w:type="dxa" w:w="5112"/>
            <w:tcMar>
              <w:top w:w="100" w:type="dxa"/>
              <w:start w:w="110" w:type="dxa"/>
              <w:bottom w:w="100" w:type="dxa"/>
              <w:end w:w="110" w:type="dxa"/>
            </w:tcMar>
            <w:vAlign w:val="center"/>
            <w:shd w:fill="1F4E78"/>
          </w:tcPr>
          <w:p>
            <w:pPr>
              <w:spacing w:after="0" w:line="240" w:lineRule="auto"/>
            </w:pPr>
            <w:r>
              <w:rPr>
                <w:rFonts w:ascii="Aptos" w:hAnsi="Aptos"/>
                <w:b/>
                <w:color w:val="FFFFFF"/>
                <w:sz w:val="18"/>
              </w:rPr>
              <w:t>Purpose</w:t>
            </w:r>
          </w:p>
        </w:tc>
      </w:tr>
      <w:tr>
        <w:trPr>
          <w:cantSplit/>
        </w:trPr>
        <w:tc>
          <w:tcPr>
            <w:tcW w:type="dxa" w:w="1872"/>
            <w:tcMar>
              <w:top w:w="100" w:type="dxa"/>
              <w:start w:w="110" w:type="dxa"/>
              <w:bottom w:w="100" w:type="dxa"/>
              <w:end w:w="110" w:type="dxa"/>
            </w:tcMar>
            <w:vAlign w:val="center"/>
          </w:tcPr>
          <w:p>
            <w:pPr>
              <w:spacing w:after="0" w:line="240" w:lineRule="auto"/>
            </w:pPr>
            <w:r>
              <w:rPr>
                <w:rFonts w:ascii="Aptos" w:hAnsi="Aptos"/>
                <w:sz w:val="18"/>
              </w:rPr>
              <w:t>Sales Overview</w:t>
            </w:r>
          </w:p>
        </w:tc>
        <w:tc>
          <w:tcPr>
            <w:tcW w:type="dxa" w:w="2880"/>
            <w:tcMar>
              <w:top w:w="100" w:type="dxa"/>
              <w:start w:w="110" w:type="dxa"/>
              <w:bottom w:w="100" w:type="dxa"/>
              <w:end w:w="110" w:type="dxa"/>
            </w:tcMar>
            <w:vAlign w:val="center"/>
          </w:tcPr>
          <w:p>
            <w:pPr>
              <w:spacing w:after="0" w:line="240" w:lineRule="auto"/>
            </w:pPr>
            <w:r>
              <w:rPr>
                <w:rFonts w:ascii="Aptos" w:hAnsi="Aptos"/>
                <w:sz w:val="18"/>
              </w:rPr>
              <w:t>KPI cards monthly line chart and month dropdown</w:t>
            </w:r>
          </w:p>
        </w:tc>
        <w:tc>
          <w:tcPr>
            <w:tcW w:type="dxa" w:w="5112"/>
            <w:tcMar>
              <w:top w:w="100" w:type="dxa"/>
              <w:start w:w="110" w:type="dxa"/>
              <w:bottom w:w="100" w:type="dxa"/>
              <w:end w:w="110" w:type="dxa"/>
            </w:tcMar>
            <w:vAlign w:val="center"/>
          </w:tcPr>
          <w:p>
            <w:pPr>
              <w:spacing w:after="0" w:line="240" w:lineRule="auto"/>
            </w:pPr>
            <w:r>
              <w:rPr>
                <w:rFonts w:ascii="Aptos" w:hAnsi="Aptos"/>
                <w:sz w:val="18"/>
              </w:rPr>
              <w:t>Shows gross sales credits net sales and monthly movement. December 2011 is marked partial through December 9.</w:t>
            </w:r>
          </w:p>
        </w:tc>
      </w:tr>
      <w:tr>
        <w:trPr>
          <w:cantSplit/>
        </w:trPr>
        <w:tc>
          <w:tcPr>
            <w:tcW w:type="dxa" w:w="1872"/>
            <w:tcMar>
              <w:top w:w="100" w:type="dxa"/>
              <w:start w:w="110" w:type="dxa"/>
              <w:bottom w:w="100" w:type="dxa"/>
              <w:end w:w="110" w:type="dxa"/>
            </w:tcMar>
            <w:vAlign w:val="center"/>
            <w:shd w:fill="EAF2F8"/>
          </w:tcPr>
          <w:p>
            <w:pPr>
              <w:spacing w:after="0" w:line="240" w:lineRule="auto"/>
            </w:pPr>
            <w:r>
              <w:rPr>
                <w:rFonts w:ascii="Aptos" w:hAnsi="Aptos"/>
                <w:sz w:val="18"/>
              </w:rPr>
              <w:t>Country Analysis</w:t>
            </w:r>
          </w:p>
        </w:tc>
        <w:tc>
          <w:tcPr>
            <w:tcW w:type="dxa" w:w="2880"/>
            <w:tcMar>
              <w:top w:w="100" w:type="dxa"/>
              <w:start w:w="110" w:type="dxa"/>
              <w:bottom w:w="100" w:type="dxa"/>
              <w:end w:w="110" w:type="dxa"/>
            </w:tcMar>
            <w:vAlign w:val="center"/>
            <w:shd w:fill="EAF2F8"/>
          </w:tcPr>
          <w:p>
            <w:pPr>
              <w:spacing w:after="0" w:line="240" w:lineRule="auto"/>
            </w:pPr>
            <w:r>
              <w:rPr>
                <w:rFonts w:ascii="Aptos" w:hAnsi="Aptos"/>
                <w:sz w:val="18"/>
              </w:rPr>
              <w:t>Two horizontal bar charts</w:t>
            </w:r>
          </w:p>
        </w:tc>
        <w:tc>
          <w:tcPr>
            <w:tcW w:type="dxa" w:w="5112"/>
            <w:tcMar>
              <w:top w:w="100" w:type="dxa"/>
              <w:start w:w="110" w:type="dxa"/>
              <w:bottom w:w="100" w:type="dxa"/>
              <w:end w:w="110" w:type="dxa"/>
            </w:tcMar>
            <w:vAlign w:val="center"/>
            <w:shd w:fill="EAF2F8"/>
          </w:tcPr>
          <w:p>
            <w:pPr>
              <w:spacing w:after="0" w:line="240" w:lineRule="auto"/>
            </w:pPr>
            <w:r>
              <w:rPr>
                <w:rFonts w:ascii="Aptos" w:hAnsi="Aptos"/>
                <w:sz w:val="18"/>
              </w:rPr>
              <w:t>Compares the top markets overall with leading overseas markets after excluding the United Kingdom.</w:t>
            </w:r>
          </w:p>
        </w:tc>
      </w:tr>
      <w:tr>
        <w:trPr>
          <w:cantSplit/>
        </w:trPr>
        <w:tc>
          <w:tcPr>
            <w:tcW w:type="dxa" w:w="1872"/>
            <w:tcMar>
              <w:top w:w="100" w:type="dxa"/>
              <w:start w:w="110" w:type="dxa"/>
              <w:bottom w:w="100" w:type="dxa"/>
              <w:end w:w="110" w:type="dxa"/>
            </w:tcMar>
            <w:vAlign w:val="center"/>
          </w:tcPr>
          <w:p>
            <w:pPr>
              <w:spacing w:after="0" w:line="240" w:lineRule="auto"/>
            </w:pPr>
            <w:r>
              <w:rPr>
                <w:rFonts w:ascii="Aptos" w:hAnsi="Aptos"/>
                <w:sz w:val="18"/>
              </w:rPr>
              <w:t>Product Analysis</w:t>
            </w:r>
          </w:p>
        </w:tc>
        <w:tc>
          <w:tcPr>
            <w:tcW w:type="dxa" w:w="2880"/>
            <w:tcMar>
              <w:top w:w="100" w:type="dxa"/>
              <w:start w:w="110" w:type="dxa"/>
              <w:bottom w:w="100" w:type="dxa"/>
              <w:end w:w="110" w:type="dxa"/>
            </w:tcMar>
            <w:vAlign w:val="center"/>
          </w:tcPr>
          <w:p>
            <w:pPr>
              <w:spacing w:after="0" w:line="240" w:lineRule="auto"/>
            </w:pPr>
            <w:r>
              <w:rPr>
                <w:rFonts w:ascii="Aptos" w:hAnsi="Aptos"/>
                <w:sz w:val="18"/>
              </w:rPr>
              <w:t>Top-ten bar chart and scatter chart</w:t>
            </w:r>
          </w:p>
        </w:tc>
        <w:tc>
          <w:tcPr>
            <w:tcW w:type="dxa" w:w="5112"/>
            <w:tcMar>
              <w:top w:w="100" w:type="dxa"/>
              <w:start w:w="110" w:type="dxa"/>
              <w:bottom w:w="100" w:type="dxa"/>
              <w:end w:w="110" w:type="dxa"/>
            </w:tcMar>
            <w:vAlign w:val="center"/>
          </w:tcPr>
          <w:p>
            <w:pPr>
              <w:spacing w:after="0" w:line="240" w:lineRule="auto"/>
            </w:pPr>
            <w:r>
              <w:rPr>
                <w:rFonts w:ascii="Aptos" w:hAnsi="Aptos"/>
                <w:sz w:val="18"/>
              </w:rPr>
              <w:t>Ranks products by net sales and compares net units with net sales across products.</w:t>
            </w:r>
          </w:p>
        </w:tc>
      </w:tr>
      <w:tr>
        <w:trPr>
          <w:cantSplit/>
        </w:trPr>
        <w:tc>
          <w:tcPr>
            <w:tcW w:type="dxa" w:w="1872"/>
            <w:tcMar>
              <w:top w:w="100" w:type="dxa"/>
              <w:start w:w="110" w:type="dxa"/>
              <w:bottom w:w="100" w:type="dxa"/>
              <w:end w:w="110" w:type="dxa"/>
            </w:tcMar>
            <w:vAlign w:val="center"/>
            <w:shd w:fill="EAF2F8"/>
          </w:tcPr>
          <w:p>
            <w:pPr>
              <w:spacing w:after="0" w:line="240" w:lineRule="auto"/>
            </w:pPr>
            <w:r>
              <w:rPr>
                <w:rFonts w:ascii="Aptos" w:hAnsi="Aptos"/>
                <w:sz w:val="18"/>
              </w:rPr>
              <w:t>Customer Analysis</w:t>
            </w:r>
          </w:p>
        </w:tc>
        <w:tc>
          <w:tcPr>
            <w:tcW w:type="dxa" w:w="2880"/>
            <w:tcMar>
              <w:top w:w="100" w:type="dxa"/>
              <w:start w:w="110" w:type="dxa"/>
              <w:bottom w:w="100" w:type="dxa"/>
              <w:end w:w="110" w:type="dxa"/>
            </w:tcMar>
            <w:vAlign w:val="center"/>
            <w:shd w:fill="EAF2F8"/>
          </w:tcPr>
          <w:p>
            <w:pPr>
              <w:spacing w:after="0" w:line="240" w:lineRule="auto"/>
            </w:pPr>
            <w:r>
              <w:rPr>
                <w:rFonts w:ascii="Aptos" w:hAnsi="Aptos"/>
                <w:sz w:val="18"/>
              </w:rPr>
              <w:t>Treemap bar chart and KPI cards</w:t>
            </w:r>
          </w:p>
        </w:tc>
        <w:tc>
          <w:tcPr>
            <w:tcW w:type="dxa" w:w="5112"/>
            <w:tcMar>
              <w:top w:w="100" w:type="dxa"/>
              <w:start w:w="110" w:type="dxa"/>
              <w:bottom w:w="100" w:type="dxa"/>
              <w:end w:w="110" w:type="dxa"/>
            </w:tcMar>
            <w:vAlign w:val="center"/>
            <w:shd w:fill="EAF2F8"/>
          </w:tcPr>
          <w:p>
            <w:pPr>
              <w:spacing w:after="0" w:line="240" w:lineRule="auto"/>
            </w:pPr>
            <w:r>
              <w:rPr>
                <w:rFonts w:ascii="Aptos" w:hAnsi="Aptos"/>
                <w:sz w:val="18"/>
              </w:rPr>
              <w:t>Compares segment size with segment sales contribution and highlights Champion customers.</w:t>
            </w:r>
          </w:p>
        </w:tc>
      </w:tr>
    </w:tbl>
    <w:p>
      <w:pPr>
        <w:spacing w:after="0"/>
      </w:pPr>
    </w:p>
    <w:p>
      <w:r>
        <w:t>The Power BI model uses four imported aggregate tables: monthly_sales, country_sales, product_summary and customer_segment_summary. They intentionally remain separate because they have different grains. The month slicer affects only Sales Overview; it is not presented as a global filter for the full-period country, product or customer summaries.</w:t>
      </w:r>
    </w:p>
    <w:p>
      <w:pPr>
        <w:pStyle w:val="Heading1"/>
      </w:pPr>
      <w:r>
        <w:t>Table and column mapping for visuals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cantSplit/>
          <w:tblHeader w:val="true"/>
        </w:trPr>
        <w:tc>
          <w:tcPr>
            <w:tcW w:type="dxa" w:w="2376"/>
            <w:tcMar>
              <w:top w:w="100" w:type="dxa"/>
              <w:start w:w="110" w:type="dxa"/>
              <w:bottom w:w="100" w:type="dxa"/>
              <w:end w:w="110" w:type="dxa"/>
            </w:tcMar>
            <w:vAlign w:val="center"/>
            <w:shd w:fill="1F4E78"/>
          </w:tcPr>
          <w:p>
            <w:pPr>
              <w:spacing w:after="0" w:line="240" w:lineRule="auto"/>
            </w:pPr>
            <w:r>
              <w:rPr>
                <w:rFonts w:ascii="Aptos" w:hAnsi="Aptos"/>
                <w:b/>
                <w:color w:val="FFFFFF"/>
                <w:sz w:val="18"/>
              </w:rPr>
              <w:t>Visual</w:t>
            </w:r>
          </w:p>
        </w:tc>
        <w:tc>
          <w:tcPr>
            <w:tcW w:type="dxa" w:w="2592"/>
            <w:tcMar>
              <w:top w:w="100" w:type="dxa"/>
              <w:start w:w="110" w:type="dxa"/>
              <w:bottom w:w="100" w:type="dxa"/>
              <w:end w:w="110" w:type="dxa"/>
            </w:tcMar>
            <w:vAlign w:val="center"/>
            <w:shd w:fill="1F4E78"/>
          </w:tcPr>
          <w:p>
            <w:pPr>
              <w:spacing w:after="0" w:line="240" w:lineRule="auto"/>
            </w:pPr>
            <w:r>
              <w:rPr>
                <w:rFonts w:ascii="Aptos" w:hAnsi="Aptos"/>
                <w:b/>
                <w:color w:val="FFFFFF"/>
                <w:sz w:val="18"/>
              </w:rPr>
              <w:t>Power BI table</w:t>
            </w:r>
          </w:p>
        </w:tc>
        <w:tc>
          <w:tcPr>
            <w:tcW w:type="dxa" w:w="4896"/>
            <w:tcMar>
              <w:top w:w="100" w:type="dxa"/>
              <w:start w:w="110" w:type="dxa"/>
              <w:bottom w:w="100" w:type="dxa"/>
              <w:end w:w="110" w:type="dxa"/>
            </w:tcMar>
            <w:vAlign w:val="center"/>
            <w:shd w:fill="1F4E78"/>
          </w:tcPr>
          <w:p>
            <w:pPr>
              <w:spacing w:after="0" w:line="240" w:lineRule="auto"/>
            </w:pPr>
            <w:r>
              <w:rPr>
                <w:rFonts w:ascii="Aptos" w:hAnsi="Aptos"/>
                <w:b/>
                <w:color w:val="FFFFFF"/>
                <w:sz w:val="18"/>
              </w:rPr>
              <w:t>Columns</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Gross Sales card</w:t>
            </w:r>
          </w:p>
        </w:tc>
        <w:tc>
          <w:tcPr>
            <w:tcW w:type="dxa" w:w="2592"/>
            <w:tcMar>
              <w:top w:w="100" w:type="dxa"/>
              <w:start w:w="110" w:type="dxa"/>
              <w:bottom w:w="100" w:type="dxa"/>
              <w:end w:w="110" w:type="dxa"/>
            </w:tcMar>
            <w:vAlign w:val="center"/>
          </w:tcPr>
          <w:p>
            <w:pPr>
              <w:spacing w:after="0" w:line="240" w:lineRule="auto"/>
            </w:pPr>
            <w:r>
              <w:rPr>
                <w:rFonts w:ascii="Aptos" w:hAnsi="Aptos"/>
                <w:sz w:val="18"/>
              </w:rPr>
              <w:t>monthly_sales</w:t>
            </w:r>
          </w:p>
        </w:tc>
        <w:tc>
          <w:tcPr>
            <w:tcW w:type="dxa" w:w="4896"/>
            <w:tcMar>
              <w:top w:w="100" w:type="dxa"/>
              <w:start w:w="110" w:type="dxa"/>
              <w:bottom w:w="100" w:type="dxa"/>
              <w:end w:w="110" w:type="dxa"/>
            </w:tcMar>
            <w:vAlign w:val="center"/>
          </w:tcPr>
          <w:p>
            <w:pPr>
              <w:spacing w:after="0" w:line="240" w:lineRule="auto"/>
            </w:pPr>
            <w:r>
              <w:rPr>
                <w:rFonts w:ascii="Aptos" w:hAnsi="Aptos"/>
                <w:sz w:val="18"/>
              </w:rPr>
              <w:t>gross_sales_gbp</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Product Credits card</w:t>
            </w:r>
          </w:p>
        </w:tc>
        <w:tc>
          <w:tcPr>
            <w:tcW w:type="dxa" w:w="2592"/>
            <w:tcMar>
              <w:top w:w="100" w:type="dxa"/>
              <w:start w:w="110" w:type="dxa"/>
              <w:bottom w:w="100" w:type="dxa"/>
              <w:end w:w="110" w:type="dxa"/>
            </w:tcMar>
            <w:vAlign w:val="center"/>
            <w:shd w:fill="EAF2F8"/>
          </w:tcPr>
          <w:p>
            <w:pPr>
              <w:spacing w:after="0" w:line="240" w:lineRule="auto"/>
            </w:pPr>
            <w:r>
              <w:rPr>
                <w:rFonts w:ascii="Aptos" w:hAnsi="Aptos"/>
                <w:sz w:val="18"/>
              </w:rPr>
              <w:t>monthly_sales</w:t>
            </w:r>
          </w:p>
        </w:tc>
        <w:tc>
          <w:tcPr>
            <w:tcW w:type="dxa" w:w="4896"/>
            <w:tcMar>
              <w:top w:w="100" w:type="dxa"/>
              <w:start w:w="110" w:type="dxa"/>
              <w:bottom w:w="100" w:type="dxa"/>
              <w:end w:w="110" w:type="dxa"/>
            </w:tcMar>
            <w:vAlign w:val="center"/>
            <w:shd w:fill="EAF2F8"/>
          </w:tcPr>
          <w:p>
            <w:pPr>
              <w:spacing w:after="0" w:line="240" w:lineRule="auto"/>
            </w:pPr>
            <w:r>
              <w:rPr>
                <w:rFonts w:ascii="Aptos" w:hAnsi="Aptos"/>
                <w:sz w:val="18"/>
              </w:rPr>
              <w:t>credits_gbp</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Net Sales card</w:t>
            </w:r>
          </w:p>
        </w:tc>
        <w:tc>
          <w:tcPr>
            <w:tcW w:type="dxa" w:w="2592"/>
            <w:tcMar>
              <w:top w:w="100" w:type="dxa"/>
              <w:start w:w="110" w:type="dxa"/>
              <w:bottom w:w="100" w:type="dxa"/>
              <w:end w:w="110" w:type="dxa"/>
            </w:tcMar>
            <w:vAlign w:val="center"/>
          </w:tcPr>
          <w:p>
            <w:pPr>
              <w:spacing w:after="0" w:line="240" w:lineRule="auto"/>
            </w:pPr>
            <w:r>
              <w:rPr>
                <w:rFonts w:ascii="Aptos" w:hAnsi="Aptos"/>
                <w:sz w:val="18"/>
              </w:rPr>
              <w:t>monthly_sales</w:t>
            </w:r>
          </w:p>
        </w:tc>
        <w:tc>
          <w:tcPr>
            <w:tcW w:type="dxa" w:w="4896"/>
            <w:tcMar>
              <w:top w:w="100" w:type="dxa"/>
              <w:start w:w="110" w:type="dxa"/>
              <w:bottom w:w="100" w:type="dxa"/>
              <w:end w:w="110" w:type="dxa"/>
            </w:tcMar>
            <w:vAlign w:val="center"/>
          </w:tcPr>
          <w:p>
            <w:pPr>
              <w:spacing w:after="0" w:line="240" w:lineRule="auto"/>
            </w:pPr>
            <w:r>
              <w:rPr>
                <w:rFonts w:ascii="Aptos" w:hAnsi="Aptos"/>
                <w:sz w:val="18"/>
              </w:rPr>
              <w:t>net_sales_gbp</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Monthly line chart</w:t>
            </w:r>
          </w:p>
        </w:tc>
        <w:tc>
          <w:tcPr>
            <w:tcW w:type="dxa" w:w="2592"/>
            <w:tcMar>
              <w:top w:w="100" w:type="dxa"/>
              <w:start w:w="110" w:type="dxa"/>
              <w:bottom w:w="100" w:type="dxa"/>
              <w:end w:w="110" w:type="dxa"/>
            </w:tcMar>
            <w:vAlign w:val="center"/>
            <w:shd w:fill="EAF2F8"/>
          </w:tcPr>
          <w:p>
            <w:pPr>
              <w:spacing w:after="0" w:line="240" w:lineRule="auto"/>
            </w:pPr>
            <w:r>
              <w:rPr>
                <w:rFonts w:ascii="Aptos" w:hAnsi="Aptos"/>
                <w:sz w:val="18"/>
              </w:rPr>
              <w:t>monthly_sales</w:t>
            </w:r>
          </w:p>
        </w:tc>
        <w:tc>
          <w:tcPr>
            <w:tcW w:type="dxa" w:w="4896"/>
            <w:tcMar>
              <w:top w:w="100" w:type="dxa"/>
              <w:start w:w="110" w:type="dxa"/>
              <w:bottom w:w="100" w:type="dxa"/>
              <w:end w:w="110" w:type="dxa"/>
            </w:tcMar>
            <w:vAlign w:val="center"/>
            <w:shd w:fill="EAF2F8"/>
          </w:tcPr>
          <w:p>
            <w:pPr>
              <w:spacing w:after="0" w:line="240" w:lineRule="auto"/>
            </w:pPr>
            <w:r>
              <w:rPr>
                <w:rFonts w:ascii="Aptos" w:hAnsi="Aptos"/>
                <w:sz w:val="18"/>
              </w:rPr>
              <w:t>sales_month net_sales_gbp period_status</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Top countries chart</w:t>
            </w:r>
          </w:p>
        </w:tc>
        <w:tc>
          <w:tcPr>
            <w:tcW w:type="dxa" w:w="2592"/>
            <w:tcMar>
              <w:top w:w="100" w:type="dxa"/>
              <w:start w:w="110" w:type="dxa"/>
              <w:bottom w:w="100" w:type="dxa"/>
              <w:end w:w="110" w:type="dxa"/>
            </w:tcMar>
            <w:vAlign w:val="center"/>
          </w:tcPr>
          <w:p>
            <w:pPr>
              <w:spacing w:after="0" w:line="240" w:lineRule="auto"/>
            </w:pPr>
            <w:r>
              <w:rPr>
                <w:rFonts w:ascii="Aptos" w:hAnsi="Aptos"/>
                <w:sz w:val="18"/>
              </w:rPr>
              <w:t>country_sales</w:t>
            </w:r>
          </w:p>
        </w:tc>
        <w:tc>
          <w:tcPr>
            <w:tcW w:type="dxa" w:w="4896"/>
            <w:tcMar>
              <w:top w:w="100" w:type="dxa"/>
              <w:start w:w="110" w:type="dxa"/>
              <w:bottom w:w="100" w:type="dxa"/>
              <w:end w:w="110" w:type="dxa"/>
            </w:tcMar>
            <w:vAlign w:val="center"/>
          </w:tcPr>
          <w:p>
            <w:pPr>
              <w:spacing w:after="0" w:line="240" w:lineRule="auto"/>
            </w:pPr>
            <w:r>
              <w:rPr>
                <w:rFonts w:ascii="Aptos" w:hAnsi="Aptos"/>
                <w:sz w:val="18"/>
              </w:rPr>
              <w:t>country net_sales_gbp</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Overseas markets chart</w:t>
            </w:r>
          </w:p>
        </w:tc>
        <w:tc>
          <w:tcPr>
            <w:tcW w:type="dxa" w:w="2592"/>
            <w:tcMar>
              <w:top w:w="100" w:type="dxa"/>
              <w:start w:w="110" w:type="dxa"/>
              <w:bottom w:w="100" w:type="dxa"/>
              <w:end w:w="110" w:type="dxa"/>
            </w:tcMar>
            <w:vAlign w:val="center"/>
            <w:shd w:fill="EAF2F8"/>
          </w:tcPr>
          <w:p>
            <w:pPr>
              <w:spacing w:after="0" w:line="240" w:lineRule="auto"/>
            </w:pPr>
            <w:r>
              <w:rPr>
                <w:rFonts w:ascii="Aptos" w:hAnsi="Aptos"/>
                <w:sz w:val="18"/>
              </w:rPr>
              <w:t>country_sales</w:t>
            </w:r>
          </w:p>
        </w:tc>
        <w:tc>
          <w:tcPr>
            <w:tcW w:type="dxa" w:w="4896"/>
            <w:tcMar>
              <w:top w:w="100" w:type="dxa"/>
              <w:start w:w="110" w:type="dxa"/>
              <w:bottom w:w="100" w:type="dxa"/>
              <w:end w:w="110" w:type="dxa"/>
            </w:tcMar>
            <w:vAlign w:val="center"/>
            <w:shd w:fill="EAF2F8"/>
          </w:tcPr>
          <w:p>
            <w:pPr>
              <w:spacing w:after="0" w:line="240" w:lineRule="auto"/>
            </w:pPr>
            <w:r>
              <w:rPr>
                <w:rFonts w:ascii="Aptos" w:hAnsi="Aptos"/>
                <w:sz w:val="18"/>
              </w:rPr>
              <w:t>country net_sales_gbp with United Kingdom excluded</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Top products chart</w:t>
            </w:r>
          </w:p>
        </w:tc>
        <w:tc>
          <w:tcPr>
            <w:tcW w:type="dxa" w:w="2592"/>
            <w:tcMar>
              <w:top w:w="100" w:type="dxa"/>
              <w:start w:w="110" w:type="dxa"/>
              <w:bottom w:w="100" w:type="dxa"/>
              <w:end w:w="110" w:type="dxa"/>
            </w:tcMar>
            <w:vAlign w:val="center"/>
          </w:tcPr>
          <w:p>
            <w:pPr>
              <w:spacing w:after="0" w:line="240" w:lineRule="auto"/>
            </w:pPr>
            <w:r>
              <w:rPr>
                <w:rFonts w:ascii="Aptos" w:hAnsi="Aptos"/>
                <w:sz w:val="18"/>
              </w:rPr>
              <w:t>product_summary</w:t>
            </w:r>
          </w:p>
        </w:tc>
        <w:tc>
          <w:tcPr>
            <w:tcW w:type="dxa" w:w="4896"/>
            <w:tcMar>
              <w:top w:w="100" w:type="dxa"/>
              <w:start w:w="110" w:type="dxa"/>
              <w:bottom w:w="100" w:type="dxa"/>
              <w:end w:w="110" w:type="dxa"/>
            </w:tcMar>
            <w:vAlign w:val="center"/>
          </w:tcPr>
          <w:p>
            <w:pPr>
              <w:spacing w:after="0" w:line="240" w:lineRule="auto"/>
            </w:pPr>
            <w:r>
              <w:rPr>
                <w:rFonts w:ascii="Aptos" w:hAnsi="Aptos"/>
                <w:sz w:val="18"/>
              </w:rPr>
              <w:t>stock_code net_sales_gbp example_description net_units</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Product scatter chart</w:t>
            </w:r>
          </w:p>
        </w:tc>
        <w:tc>
          <w:tcPr>
            <w:tcW w:type="dxa" w:w="2592"/>
            <w:tcMar>
              <w:top w:w="100" w:type="dxa"/>
              <w:start w:w="110" w:type="dxa"/>
              <w:bottom w:w="100" w:type="dxa"/>
              <w:end w:w="110" w:type="dxa"/>
            </w:tcMar>
            <w:vAlign w:val="center"/>
            <w:shd w:fill="EAF2F8"/>
          </w:tcPr>
          <w:p>
            <w:pPr>
              <w:spacing w:after="0" w:line="240" w:lineRule="auto"/>
            </w:pPr>
            <w:r>
              <w:rPr>
                <w:rFonts w:ascii="Aptos" w:hAnsi="Aptos"/>
                <w:sz w:val="18"/>
              </w:rPr>
              <w:t>product_summary</w:t>
            </w:r>
          </w:p>
        </w:tc>
        <w:tc>
          <w:tcPr>
            <w:tcW w:type="dxa" w:w="4896"/>
            <w:tcMar>
              <w:top w:w="100" w:type="dxa"/>
              <w:start w:w="110" w:type="dxa"/>
              <w:bottom w:w="100" w:type="dxa"/>
              <w:end w:w="110" w:type="dxa"/>
            </w:tcMar>
            <w:vAlign w:val="center"/>
            <w:shd w:fill="EAF2F8"/>
          </w:tcPr>
          <w:p>
            <w:pPr>
              <w:spacing w:after="0" w:line="240" w:lineRule="auto"/>
            </w:pPr>
            <w:r>
              <w:rPr>
                <w:rFonts w:ascii="Aptos" w:hAnsi="Aptos"/>
                <w:sz w:val="18"/>
              </w:rPr>
              <w:t>stock_code net_units net_sales_gbp example_description</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Customer treemap</w:t>
            </w:r>
          </w:p>
        </w:tc>
        <w:tc>
          <w:tcPr>
            <w:tcW w:type="dxa" w:w="2592"/>
            <w:tcMar>
              <w:top w:w="100" w:type="dxa"/>
              <w:start w:w="110" w:type="dxa"/>
              <w:bottom w:w="100" w:type="dxa"/>
              <w:end w:w="110" w:type="dxa"/>
            </w:tcMar>
            <w:vAlign w:val="center"/>
          </w:tcPr>
          <w:p>
            <w:pPr>
              <w:spacing w:after="0" w:line="240" w:lineRule="auto"/>
            </w:pPr>
            <w:r>
              <w:rPr>
                <w:rFonts w:ascii="Aptos" w:hAnsi="Aptos"/>
                <w:sz w:val="18"/>
              </w:rPr>
              <w:t>customer_segment_summary</w:t>
            </w:r>
          </w:p>
        </w:tc>
        <w:tc>
          <w:tcPr>
            <w:tcW w:type="dxa" w:w="4896"/>
            <w:tcMar>
              <w:top w:w="100" w:type="dxa"/>
              <w:start w:w="110" w:type="dxa"/>
              <w:bottom w:w="100" w:type="dxa"/>
              <w:end w:w="110" w:type="dxa"/>
            </w:tcMar>
            <w:vAlign w:val="center"/>
          </w:tcPr>
          <w:p>
            <w:pPr>
              <w:spacing w:after="0" w:line="240" w:lineRule="auto"/>
            </w:pPr>
            <w:r>
              <w:rPr>
                <w:rFonts w:ascii="Aptos" w:hAnsi="Aptos"/>
                <w:sz w:val="18"/>
              </w:rPr>
              <w:t>segment customer_count</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Segment sales chart</w:t>
            </w:r>
          </w:p>
        </w:tc>
        <w:tc>
          <w:tcPr>
            <w:tcW w:type="dxa" w:w="2592"/>
            <w:tcMar>
              <w:top w:w="100" w:type="dxa"/>
              <w:start w:w="110" w:type="dxa"/>
              <w:bottom w:w="100" w:type="dxa"/>
              <w:end w:w="110" w:type="dxa"/>
            </w:tcMar>
            <w:vAlign w:val="center"/>
            <w:shd w:fill="EAF2F8"/>
          </w:tcPr>
          <w:p>
            <w:pPr>
              <w:spacing w:after="0" w:line="240" w:lineRule="auto"/>
            </w:pPr>
            <w:r>
              <w:rPr>
                <w:rFonts w:ascii="Aptos" w:hAnsi="Aptos"/>
                <w:sz w:val="18"/>
              </w:rPr>
              <w:t>customer_segment_summary</w:t>
            </w:r>
          </w:p>
        </w:tc>
        <w:tc>
          <w:tcPr>
            <w:tcW w:type="dxa" w:w="4896"/>
            <w:tcMar>
              <w:top w:w="100" w:type="dxa"/>
              <w:start w:w="110" w:type="dxa"/>
              <w:bottom w:w="100" w:type="dxa"/>
              <w:end w:w="110" w:type="dxa"/>
            </w:tcMar>
            <w:vAlign w:val="center"/>
            <w:shd w:fill="EAF2F8"/>
          </w:tcPr>
          <w:p>
            <w:pPr>
              <w:spacing w:after="0" w:line="240" w:lineRule="auto"/>
            </w:pPr>
            <w:r>
              <w:rPr>
                <w:rFonts w:ascii="Aptos" w:hAnsi="Aptos"/>
                <w:sz w:val="18"/>
              </w:rPr>
              <w:t>segment net_sales_gbp</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Customer KPI cards</w:t>
            </w:r>
          </w:p>
        </w:tc>
        <w:tc>
          <w:tcPr>
            <w:tcW w:type="dxa" w:w="2592"/>
            <w:tcMar>
              <w:top w:w="100" w:type="dxa"/>
              <w:start w:w="110" w:type="dxa"/>
              <w:bottom w:w="100" w:type="dxa"/>
              <w:end w:w="110" w:type="dxa"/>
            </w:tcMar>
            <w:vAlign w:val="center"/>
          </w:tcPr>
          <w:p>
            <w:pPr>
              <w:spacing w:after="0" w:line="240" w:lineRule="auto"/>
            </w:pPr>
            <w:r>
              <w:rPr>
                <w:rFonts w:ascii="Aptos" w:hAnsi="Aptos"/>
                <w:sz w:val="18"/>
              </w:rPr>
              <w:t>customer_segment_summary</w:t>
            </w:r>
          </w:p>
        </w:tc>
        <w:tc>
          <w:tcPr>
            <w:tcW w:type="dxa" w:w="4896"/>
            <w:tcMar>
              <w:top w:w="100" w:type="dxa"/>
              <w:start w:w="110" w:type="dxa"/>
              <w:bottom w:w="100" w:type="dxa"/>
              <w:end w:w="110" w:type="dxa"/>
            </w:tcMar>
            <w:vAlign w:val="center"/>
          </w:tcPr>
          <w:p>
            <w:pPr>
              <w:spacing w:after="0" w:line="240" w:lineRule="auto"/>
            </w:pPr>
            <w:r>
              <w:rPr>
                <w:rFonts w:ascii="Aptos" w:hAnsi="Aptos"/>
                <w:sz w:val="18"/>
              </w:rPr>
              <w:t>customer_count net_sales_gbp segment</w:t>
            </w:r>
          </w:p>
        </w:tc>
      </w:tr>
    </w:tbl>
    <w:p>
      <w:pPr>
        <w:spacing w:after="0"/>
      </w:pPr>
    </w:p>
    <w:p>
      <w:pPr>
        <w:pStyle w:val="Heading1"/>
      </w:pPr>
      <w:r>
        <w:t>Key findings</w:t>
      </w:r>
    </w:p>
    <w:p>
      <w:pPr>
        <w:pStyle w:val="ListBullet"/>
      </w:pPr>
      <w:r>
        <w:t>Net merchandise sales were £19.38 million after £0.73 million of product credits.</w:t>
      </w:r>
    </w:p>
    <w:p>
      <w:pPr>
        <w:pStyle w:val="ListBullet"/>
      </w:pPr>
      <w:r>
        <w:t>November 2011 was the highest full month with net sales of approximately £1.43 million.</w:t>
      </w:r>
    </w:p>
    <w:p>
      <w:pPr>
        <w:pStyle w:val="ListBullet"/>
      </w:pPr>
      <w:r>
        <w:t>December 2011 contains only nine days and must not be compared directly with full months.</w:t>
      </w:r>
    </w:p>
    <w:p>
      <w:pPr>
        <w:pStyle w:val="ListBullet"/>
      </w:pPr>
      <w:r>
        <w:t>The United Kingdom contributed about 85.6 percent of total net sales, showing strong geographic concentration.</w:t>
      </w:r>
    </w:p>
    <w:p>
      <w:pPr>
        <w:pStyle w:val="ListBullet"/>
      </w:pPr>
      <w:r>
        <w:t>EIRE and the Netherlands were the largest overseas markets at about £608.5 thousand and £546.3 thousand in net sales.</w:t>
      </w:r>
    </w:p>
    <w:p>
      <w:pPr>
        <w:pStyle w:val="ListBullet"/>
      </w:pPr>
      <w:r>
        <w:t>Stock code 22423, REGENCY CAKESTAND 3 TIER, led products with approximately £327.8 thousand in net sales.</w:t>
      </w:r>
    </w:p>
    <w:p>
      <w:pPr>
        <w:pStyle w:val="ListBullet"/>
      </w:pPr>
      <w:r>
        <w:t>Champions represented 487 customers, about 8.3 percent of identified purchasers, but contributed about £9.34 million or 55.9 percent of identified-customer net sales.</w:t>
      </w:r>
    </w:p>
    <w:p>
      <w:pPr>
        <w:pStyle w:val="ListBullet"/>
      </w:pPr>
      <w:r>
        <w:t>Inactive buyers were the largest segment with 2,058 customers, which creates a sizable re-engagement audience.</w:t>
      </w:r>
    </w:p>
    <w:p>
      <w:pPr>
        <w:pStyle w:val="Heading1"/>
      </w:pPr>
      <w:r>
        <w:t>Customer segment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99"/>
        <w:gridCol w:w="1999"/>
        <w:gridCol w:w="1999"/>
        <w:gridCol w:w="1999"/>
        <w:gridCol w:w="1999"/>
      </w:tblGrid>
      <w:tr>
        <w:trPr>
          <w:cantSplit/>
          <w:tblHeader w:val="true"/>
        </w:trPr>
        <w:tc>
          <w:tcPr>
            <w:tcW w:type="dxa" w:w="2448"/>
            <w:tcMar>
              <w:top w:w="100" w:type="dxa"/>
              <w:start w:w="110" w:type="dxa"/>
              <w:bottom w:w="100" w:type="dxa"/>
              <w:end w:w="110" w:type="dxa"/>
            </w:tcMar>
            <w:vAlign w:val="center"/>
            <w:shd w:fill="1F4E78"/>
          </w:tcPr>
          <w:p>
            <w:pPr>
              <w:spacing w:after="0" w:line="240" w:lineRule="auto"/>
            </w:pPr>
            <w:r>
              <w:rPr>
                <w:rFonts w:ascii="Aptos" w:hAnsi="Aptos"/>
                <w:b/>
                <w:color w:val="FFFFFF"/>
                <w:sz w:val="18"/>
              </w:rPr>
              <w:t>Segment</w:t>
            </w:r>
          </w:p>
        </w:tc>
        <w:tc>
          <w:tcPr>
            <w:tcW w:type="dxa" w:w="1224"/>
            <w:tcMar>
              <w:top w:w="100" w:type="dxa"/>
              <w:start w:w="110" w:type="dxa"/>
              <w:bottom w:w="100" w:type="dxa"/>
              <w:end w:w="110" w:type="dxa"/>
            </w:tcMar>
            <w:vAlign w:val="center"/>
            <w:shd w:fill="1F4E78"/>
          </w:tcPr>
          <w:p>
            <w:pPr>
              <w:spacing w:after="0" w:line="240" w:lineRule="auto"/>
            </w:pPr>
            <w:r>
              <w:rPr>
                <w:rFonts w:ascii="Aptos" w:hAnsi="Aptos"/>
                <w:b/>
                <w:color w:val="FFFFFF"/>
                <w:sz w:val="18"/>
              </w:rPr>
              <w:t>Customers</w:t>
            </w:r>
          </w:p>
        </w:tc>
        <w:tc>
          <w:tcPr>
            <w:tcW w:type="dxa" w:w="2160"/>
            <w:tcMar>
              <w:top w:w="100" w:type="dxa"/>
              <w:start w:w="110" w:type="dxa"/>
              <w:bottom w:w="100" w:type="dxa"/>
              <w:end w:w="110" w:type="dxa"/>
            </w:tcMar>
            <w:vAlign w:val="center"/>
            <w:shd w:fill="1F4E78"/>
          </w:tcPr>
          <w:p>
            <w:pPr>
              <w:spacing w:after="0" w:line="240" w:lineRule="auto"/>
            </w:pPr>
            <w:r>
              <w:rPr>
                <w:rFonts w:ascii="Aptos" w:hAnsi="Aptos"/>
                <w:b/>
                <w:color w:val="FFFFFF"/>
                <w:sz w:val="18"/>
              </w:rPr>
              <w:t>Net sales</w:t>
            </w:r>
          </w:p>
        </w:tc>
        <w:tc>
          <w:tcPr>
            <w:tcW w:type="dxa" w:w="1728"/>
            <w:tcMar>
              <w:top w:w="100" w:type="dxa"/>
              <w:start w:w="110" w:type="dxa"/>
              <w:bottom w:w="100" w:type="dxa"/>
              <w:end w:w="110" w:type="dxa"/>
            </w:tcMar>
            <w:vAlign w:val="center"/>
            <w:shd w:fill="1F4E78"/>
          </w:tcPr>
          <w:p>
            <w:pPr>
              <w:spacing w:after="0" w:line="240" w:lineRule="auto"/>
            </w:pPr>
            <w:r>
              <w:rPr>
                <w:rFonts w:ascii="Aptos" w:hAnsi="Aptos"/>
                <w:b/>
                <w:color w:val="FFFFFF"/>
                <w:sz w:val="18"/>
              </w:rPr>
              <w:t>Avg recency</w:t>
            </w:r>
          </w:p>
        </w:tc>
        <w:tc>
          <w:tcPr>
            <w:tcW w:type="dxa" w:w="1728"/>
            <w:tcMar>
              <w:top w:w="100" w:type="dxa"/>
              <w:start w:w="110" w:type="dxa"/>
              <w:bottom w:w="100" w:type="dxa"/>
              <w:end w:w="110" w:type="dxa"/>
            </w:tcMar>
            <w:vAlign w:val="center"/>
            <w:shd w:fill="1F4E78"/>
          </w:tcPr>
          <w:p>
            <w:pPr>
              <w:spacing w:after="0" w:line="240" w:lineRule="auto"/>
            </w:pPr>
            <w:r>
              <w:rPr>
                <w:rFonts w:ascii="Aptos" w:hAnsi="Aptos"/>
                <w:b/>
                <w:color w:val="FFFFFF"/>
                <w:sz w:val="18"/>
              </w:rPr>
              <w:t>Avg frequency</w:t>
            </w:r>
          </w:p>
        </w:tc>
      </w:tr>
      <w:tr>
        <w:trPr>
          <w:cantSplit/>
        </w:trPr>
        <w:tc>
          <w:tcPr>
            <w:tcW w:type="dxa" w:w="2448"/>
            <w:tcMar>
              <w:top w:w="100" w:type="dxa"/>
              <w:start w:w="110" w:type="dxa"/>
              <w:bottom w:w="100" w:type="dxa"/>
              <w:end w:w="110" w:type="dxa"/>
            </w:tcMar>
            <w:vAlign w:val="center"/>
          </w:tcPr>
          <w:p>
            <w:pPr>
              <w:spacing w:after="0" w:line="240" w:lineRule="auto"/>
            </w:pPr>
            <w:r>
              <w:rPr>
                <w:rFonts w:ascii="Aptos" w:hAnsi="Aptos"/>
                <w:sz w:val="18"/>
              </w:rPr>
              <w:t>Champions</w:t>
            </w:r>
          </w:p>
        </w:tc>
        <w:tc>
          <w:tcPr>
            <w:tcW w:type="dxa" w:w="1224"/>
            <w:tcMar>
              <w:top w:w="100" w:type="dxa"/>
              <w:start w:w="110" w:type="dxa"/>
              <w:bottom w:w="100" w:type="dxa"/>
              <w:end w:w="110" w:type="dxa"/>
            </w:tcMar>
            <w:vAlign w:val="center"/>
          </w:tcPr>
          <w:p>
            <w:pPr>
              <w:spacing w:after="0" w:line="240" w:lineRule="auto"/>
            </w:pPr>
            <w:r>
              <w:rPr>
                <w:rFonts w:ascii="Aptos" w:hAnsi="Aptos"/>
                <w:sz w:val="18"/>
              </w:rPr>
              <w:t>487</w:t>
            </w:r>
          </w:p>
        </w:tc>
        <w:tc>
          <w:tcPr>
            <w:tcW w:type="dxa" w:w="2160"/>
            <w:tcMar>
              <w:top w:w="100" w:type="dxa"/>
              <w:start w:w="110" w:type="dxa"/>
              <w:bottom w:w="100" w:type="dxa"/>
              <w:end w:w="110" w:type="dxa"/>
            </w:tcMar>
            <w:vAlign w:val="center"/>
          </w:tcPr>
          <w:p>
            <w:pPr>
              <w:spacing w:after="0" w:line="240" w:lineRule="auto"/>
            </w:pPr>
            <w:r>
              <w:rPr>
                <w:rFonts w:ascii="Aptos" w:hAnsi="Aptos"/>
                <w:sz w:val="18"/>
              </w:rPr>
              <w:t>£9,343,902.68</w:t>
            </w:r>
          </w:p>
        </w:tc>
        <w:tc>
          <w:tcPr>
            <w:tcW w:type="dxa" w:w="1728"/>
            <w:tcMar>
              <w:top w:w="100" w:type="dxa"/>
              <w:start w:w="110" w:type="dxa"/>
              <w:bottom w:w="100" w:type="dxa"/>
              <w:end w:w="110" w:type="dxa"/>
            </w:tcMar>
            <w:vAlign w:val="center"/>
          </w:tcPr>
          <w:p>
            <w:pPr>
              <w:spacing w:after="0" w:line="240" w:lineRule="auto"/>
            </w:pPr>
            <w:r>
              <w:rPr>
                <w:rFonts w:ascii="Aptos" w:hAnsi="Aptos"/>
                <w:sz w:val="18"/>
              </w:rPr>
              <w:t>19.1</w:t>
            </w:r>
          </w:p>
        </w:tc>
        <w:tc>
          <w:tcPr>
            <w:tcW w:type="dxa" w:w="1728"/>
            <w:tcMar>
              <w:top w:w="100" w:type="dxa"/>
              <w:start w:w="110" w:type="dxa"/>
              <w:bottom w:w="100" w:type="dxa"/>
              <w:end w:w="110" w:type="dxa"/>
            </w:tcMar>
            <w:vAlign w:val="center"/>
          </w:tcPr>
          <w:p>
            <w:pPr>
              <w:spacing w:after="0" w:line="240" w:lineRule="auto"/>
            </w:pPr>
            <w:r>
              <w:rPr>
                <w:rFonts w:ascii="Aptos" w:hAnsi="Aptos"/>
                <w:sz w:val="18"/>
              </w:rPr>
              <w:t>30.0</w:t>
            </w:r>
          </w:p>
        </w:tc>
      </w:tr>
      <w:tr>
        <w:trPr>
          <w:cantSplit/>
        </w:trPr>
        <w:tc>
          <w:tcPr>
            <w:tcW w:type="dxa" w:w="2448"/>
            <w:tcMar>
              <w:top w:w="100" w:type="dxa"/>
              <w:start w:w="110" w:type="dxa"/>
              <w:bottom w:w="100" w:type="dxa"/>
              <w:end w:w="110" w:type="dxa"/>
            </w:tcMar>
            <w:vAlign w:val="center"/>
            <w:shd w:fill="EAF2F8"/>
          </w:tcPr>
          <w:p>
            <w:pPr>
              <w:spacing w:after="0" w:line="240" w:lineRule="auto"/>
            </w:pPr>
            <w:r>
              <w:rPr>
                <w:rFonts w:ascii="Aptos" w:hAnsi="Aptos"/>
                <w:sz w:val="18"/>
              </w:rPr>
              <w:t>Active repeat buyers</w:t>
            </w:r>
          </w:p>
        </w:tc>
        <w:tc>
          <w:tcPr>
            <w:tcW w:type="dxa" w:w="1224"/>
            <w:tcMar>
              <w:top w:w="100" w:type="dxa"/>
              <w:start w:w="110" w:type="dxa"/>
              <w:bottom w:w="100" w:type="dxa"/>
              <w:end w:w="110" w:type="dxa"/>
            </w:tcMar>
            <w:vAlign w:val="center"/>
            <w:shd w:fill="EAF2F8"/>
          </w:tcPr>
          <w:p>
            <w:pPr>
              <w:spacing w:after="0" w:line="240" w:lineRule="auto"/>
            </w:pPr>
            <w:r>
              <w:rPr>
                <w:rFonts w:ascii="Aptos" w:hAnsi="Aptos"/>
                <w:sz w:val="18"/>
              </w:rPr>
              <w:t>1,124</w:t>
            </w:r>
          </w:p>
        </w:tc>
        <w:tc>
          <w:tcPr>
            <w:tcW w:type="dxa" w:w="2160"/>
            <w:tcMar>
              <w:top w:w="100" w:type="dxa"/>
              <w:start w:w="110" w:type="dxa"/>
              <w:bottom w:w="100" w:type="dxa"/>
              <w:end w:w="110" w:type="dxa"/>
            </w:tcMar>
            <w:vAlign w:val="center"/>
            <w:shd w:fill="EAF2F8"/>
          </w:tcPr>
          <w:p>
            <w:pPr>
              <w:spacing w:after="0" w:line="240" w:lineRule="auto"/>
            </w:pPr>
            <w:r>
              <w:rPr>
                <w:rFonts w:ascii="Aptos" w:hAnsi="Aptos"/>
                <w:sz w:val="18"/>
              </w:rPr>
              <w:t>£3,157,358.36</w:t>
            </w:r>
          </w:p>
        </w:tc>
        <w:tc>
          <w:tcPr>
            <w:tcW w:type="dxa" w:w="1728"/>
            <w:tcMar>
              <w:top w:w="100" w:type="dxa"/>
              <w:start w:w="110" w:type="dxa"/>
              <w:bottom w:w="100" w:type="dxa"/>
              <w:end w:w="110" w:type="dxa"/>
            </w:tcMar>
            <w:vAlign w:val="center"/>
            <w:shd w:fill="EAF2F8"/>
          </w:tcPr>
          <w:p>
            <w:pPr>
              <w:spacing w:after="0" w:line="240" w:lineRule="auto"/>
            </w:pPr>
            <w:r>
              <w:rPr>
                <w:rFonts w:ascii="Aptos" w:hAnsi="Aptos"/>
                <w:sz w:val="18"/>
              </w:rPr>
              <w:t>30.9</w:t>
            </w:r>
          </w:p>
        </w:tc>
        <w:tc>
          <w:tcPr>
            <w:tcW w:type="dxa" w:w="1728"/>
            <w:tcMar>
              <w:top w:w="100" w:type="dxa"/>
              <w:start w:w="110" w:type="dxa"/>
              <w:bottom w:w="100" w:type="dxa"/>
              <w:end w:w="110" w:type="dxa"/>
            </w:tcMar>
            <w:vAlign w:val="center"/>
            <w:shd w:fill="EAF2F8"/>
          </w:tcPr>
          <w:p>
            <w:pPr>
              <w:spacing w:after="0" w:line="240" w:lineRule="auto"/>
            </w:pPr>
            <w:r>
              <w:rPr>
                <w:rFonts w:ascii="Aptos" w:hAnsi="Aptos"/>
                <w:sz w:val="18"/>
              </w:rPr>
              <w:t>8.8</w:t>
            </w:r>
          </w:p>
        </w:tc>
      </w:tr>
      <w:tr>
        <w:trPr>
          <w:cantSplit/>
        </w:trPr>
        <w:tc>
          <w:tcPr>
            <w:tcW w:type="dxa" w:w="2448"/>
            <w:tcMar>
              <w:top w:w="100" w:type="dxa"/>
              <w:start w:w="110" w:type="dxa"/>
              <w:bottom w:w="100" w:type="dxa"/>
              <w:end w:w="110" w:type="dxa"/>
            </w:tcMar>
            <w:vAlign w:val="center"/>
          </w:tcPr>
          <w:p>
            <w:pPr>
              <w:spacing w:after="0" w:line="240" w:lineRule="auto"/>
            </w:pPr>
            <w:r>
              <w:rPr>
                <w:rFonts w:ascii="Aptos" w:hAnsi="Aptos"/>
                <w:sz w:val="18"/>
              </w:rPr>
              <w:t>Other buyers</w:t>
            </w:r>
          </w:p>
        </w:tc>
        <w:tc>
          <w:tcPr>
            <w:tcW w:type="dxa" w:w="1224"/>
            <w:tcMar>
              <w:top w:w="100" w:type="dxa"/>
              <w:start w:w="110" w:type="dxa"/>
              <w:bottom w:w="100" w:type="dxa"/>
              <w:end w:w="110" w:type="dxa"/>
            </w:tcMar>
            <w:vAlign w:val="center"/>
          </w:tcPr>
          <w:p>
            <w:pPr>
              <w:spacing w:after="0" w:line="240" w:lineRule="auto"/>
            </w:pPr>
            <w:r>
              <w:rPr>
                <w:rFonts w:ascii="Aptos" w:hAnsi="Aptos"/>
                <w:sz w:val="18"/>
              </w:rPr>
              <w:t>1,492</w:t>
            </w:r>
          </w:p>
        </w:tc>
        <w:tc>
          <w:tcPr>
            <w:tcW w:type="dxa" w:w="2160"/>
            <w:tcMar>
              <w:top w:w="100" w:type="dxa"/>
              <w:start w:w="110" w:type="dxa"/>
              <w:bottom w:w="100" w:type="dxa"/>
              <w:end w:w="110" w:type="dxa"/>
            </w:tcMar>
            <w:vAlign w:val="center"/>
          </w:tcPr>
          <w:p>
            <w:pPr>
              <w:spacing w:after="0" w:line="240" w:lineRule="auto"/>
            </w:pPr>
            <w:r>
              <w:rPr>
                <w:rFonts w:ascii="Aptos" w:hAnsi="Aptos"/>
                <w:sz w:val="18"/>
              </w:rPr>
              <w:t>£1,906,050.03</w:t>
            </w:r>
          </w:p>
        </w:tc>
        <w:tc>
          <w:tcPr>
            <w:tcW w:type="dxa" w:w="1728"/>
            <w:tcMar>
              <w:top w:w="100" w:type="dxa"/>
              <w:start w:w="110" w:type="dxa"/>
              <w:bottom w:w="100" w:type="dxa"/>
              <w:end w:w="110" w:type="dxa"/>
            </w:tcMar>
            <w:vAlign w:val="center"/>
          </w:tcPr>
          <w:p>
            <w:pPr>
              <w:spacing w:after="0" w:line="240" w:lineRule="auto"/>
            </w:pPr>
            <w:r>
              <w:rPr>
                <w:rFonts w:ascii="Aptos" w:hAnsi="Aptos"/>
                <w:sz w:val="18"/>
              </w:rPr>
              <w:t>74.2</w:t>
            </w:r>
          </w:p>
        </w:tc>
        <w:tc>
          <w:tcPr>
            <w:tcW w:type="dxa" w:w="1728"/>
            <w:tcMar>
              <w:top w:w="100" w:type="dxa"/>
              <w:start w:w="110" w:type="dxa"/>
              <w:bottom w:w="100" w:type="dxa"/>
              <w:end w:w="110" w:type="dxa"/>
            </w:tcMar>
            <w:vAlign w:val="center"/>
          </w:tcPr>
          <w:p>
            <w:pPr>
              <w:spacing w:after="0" w:line="240" w:lineRule="auto"/>
            </w:pPr>
            <w:r>
              <w:rPr>
                <w:rFonts w:ascii="Aptos" w:hAnsi="Aptos"/>
                <w:sz w:val="18"/>
              </w:rPr>
              <w:t>3.7</w:t>
            </w:r>
          </w:p>
        </w:tc>
      </w:tr>
      <w:tr>
        <w:trPr>
          <w:cantSplit/>
        </w:trPr>
        <w:tc>
          <w:tcPr>
            <w:tcW w:type="dxa" w:w="2448"/>
            <w:tcMar>
              <w:top w:w="100" w:type="dxa"/>
              <w:start w:w="110" w:type="dxa"/>
              <w:bottom w:w="100" w:type="dxa"/>
              <w:end w:w="110" w:type="dxa"/>
            </w:tcMar>
            <w:vAlign w:val="center"/>
            <w:shd w:fill="EAF2F8"/>
          </w:tcPr>
          <w:p>
            <w:pPr>
              <w:spacing w:after="0" w:line="240" w:lineRule="auto"/>
            </w:pPr>
            <w:r>
              <w:rPr>
                <w:rFonts w:ascii="Aptos" w:hAnsi="Aptos"/>
                <w:sz w:val="18"/>
              </w:rPr>
              <w:t>At risk</w:t>
            </w:r>
          </w:p>
        </w:tc>
        <w:tc>
          <w:tcPr>
            <w:tcW w:type="dxa" w:w="1224"/>
            <w:tcMar>
              <w:top w:w="100" w:type="dxa"/>
              <w:start w:w="110" w:type="dxa"/>
              <w:bottom w:w="100" w:type="dxa"/>
              <w:end w:w="110" w:type="dxa"/>
            </w:tcMar>
            <w:vAlign w:val="center"/>
            <w:shd w:fill="EAF2F8"/>
          </w:tcPr>
          <w:p>
            <w:pPr>
              <w:spacing w:after="0" w:line="240" w:lineRule="auto"/>
            </w:pPr>
            <w:r>
              <w:rPr>
                <w:rFonts w:ascii="Aptos" w:hAnsi="Aptos"/>
                <w:sz w:val="18"/>
              </w:rPr>
              <w:t>311</w:t>
            </w:r>
          </w:p>
        </w:tc>
        <w:tc>
          <w:tcPr>
            <w:tcW w:type="dxa" w:w="2160"/>
            <w:tcMar>
              <w:top w:w="100" w:type="dxa"/>
              <w:start w:w="110" w:type="dxa"/>
              <w:bottom w:w="100" w:type="dxa"/>
              <w:end w:w="110" w:type="dxa"/>
            </w:tcMar>
            <w:vAlign w:val="center"/>
            <w:shd w:fill="EAF2F8"/>
          </w:tcPr>
          <w:p>
            <w:pPr>
              <w:spacing w:after="0" w:line="240" w:lineRule="auto"/>
            </w:pPr>
            <w:r>
              <w:rPr>
                <w:rFonts w:ascii="Aptos" w:hAnsi="Aptos"/>
                <w:sz w:val="18"/>
              </w:rPr>
              <w:t>£1,089,184.70</w:t>
            </w:r>
          </w:p>
        </w:tc>
        <w:tc>
          <w:tcPr>
            <w:tcW w:type="dxa" w:w="1728"/>
            <w:tcMar>
              <w:top w:w="100" w:type="dxa"/>
              <w:start w:w="110" w:type="dxa"/>
              <w:bottom w:w="100" w:type="dxa"/>
              <w:end w:w="110" w:type="dxa"/>
            </w:tcMar>
            <w:vAlign w:val="center"/>
            <w:shd w:fill="EAF2F8"/>
          </w:tcPr>
          <w:p>
            <w:pPr>
              <w:spacing w:after="0" w:line="240" w:lineRule="auto"/>
            </w:pPr>
            <w:r>
              <w:rPr>
                <w:rFonts w:ascii="Aptos" w:hAnsi="Aptos"/>
                <w:sz w:val="18"/>
              </w:rPr>
              <w:t>332.8</w:t>
            </w:r>
          </w:p>
        </w:tc>
        <w:tc>
          <w:tcPr>
            <w:tcW w:type="dxa" w:w="1728"/>
            <w:tcMar>
              <w:top w:w="100" w:type="dxa"/>
              <w:start w:w="110" w:type="dxa"/>
              <w:bottom w:w="100" w:type="dxa"/>
              <w:end w:w="110" w:type="dxa"/>
            </w:tcMar>
            <w:vAlign w:val="center"/>
            <w:shd w:fill="EAF2F8"/>
          </w:tcPr>
          <w:p>
            <w:pPr>
              <w:spacing w:after="0" w:line="240" w:lineRule="auto"/>
            </w:pPr>
            <w:r>
              <w:rPr>
                <w:rFonts w:ascii="Aptos" w:hAnsi="Aptos"/>
                <w:sz w:val="18"/>
              </w:rPr>
              <w:t>8.3</w:t>
            </w:r>
          </w:p>
        </w:tc>
      </w:tr>
      <w:tr>
        <w:trPr>
          <w:cantSplit/>
        </w:trPr>
        <w:tc>
          <w:tcPr>
            <w:tcW w:type="dxa" w:w="2448"/>
            <w:tcMar>
              <w:top w:w="100" w:type="dxa"/>
              <w:start w:w="110" w:type="dxa"/>
              <w:bottom w:w="100" w:type="dxa"/>
              <w:end w:w="110" w:type="dxa"/>
            </w:tcMar>
            <w:vAlign w:val="center"/>
          </w:tcPr>
          <w:p>
            <w:pPr>
              <w:spacing w:after="0" w:line="240" w:lineRule="auto"/>
            </w:pPr>
            <w:r>
              <w:rPr>
                <w:rFonts w:ascii="Aptos" w:hAnsi="Aptos"/>
                <w:sz w:val="18"/>
              </w:rPr>
              <w:t>Inactive buyers</w:t>
            </w:r>
          </w:p>
        </w:tc>
        <w:tc>
          <w:tcPr>
            <w:tcW w:type="dxa" w:w="1224"/>
            <w:tcMar>
              <w:top w:w="100" w:type="dxa"/>
              <w:start w:w="110" w:type="dxa"/>
              <w:bottom w:w="100" w:type="dxa"/>
              <w:end w:w="110" w:type="dxa"/>
            </w:tcMar>
            <w:vAlign w:val="center"/>
          </w:tcPr>
          <w:p>
            <w:pPr>
              <w:spacing w:after="0" w:line="240" w:lineRule="auto"/>
            </w:pPr>
            <w:r>
              <w:rPr>
                <w:rFonts w:ascii="Aptos" w:hAnsi="Aptos"/>
                <w:sz w:val="18"/>
              </w:rPr>
              <w:t>2,058</w:t>
            </w:r>
          </w:p>
        </w:tc>
        <w:tc>
          <w:tcPr>
            <w:tcW w:type="dxa" w:w="2160"/>
            <w:tcMar>
              <w:top w:w="100" w:type="dxa"/>
              <w:start w:w="110" w:type="dxa"/>
              <w:bottom w:w="100" w:type="dxa"/>
              <w:end w:w="110" w:type="dxa"/>
            </w:tcMar>
            <w:vAlign w:val="center"/>
          </w:tcPr>
          <w:p>
            <w:pPr>
              <w:spacing w:after="0" w:line="240" w:lineRule="auto"/>
            </w:pPr>
            <w:r>
              <w:rPr>
                <w:rFonts w:ascii="Aptos" w:hAnsi="Aptos"/>
                <w:sz w:val="18"/>
              </w:rPr>
              <w:t>£1,086,769.87</w:t>
            </w:r>
          </w:p>
        </w:tc>
        <w:tc>
          <w:tcPr>
            <w:tcW w:type="dxa" w:w="1728"/>
            <w:tcMar>
              <w:top w:w="100" w:type="dxa"/>
              <w:start w:w="110" w:type="dxa"/>
              <w:bottom w:w="100" w:type="dxa"/>
              <w:end w:w="110" w:type="dxa"/>
            </w:tcMar>
            <w:vAlign w:val="center"/>
          </w:tcPr>
          <w:p>
            <w:pPr>
              <w:spacing w:after="0" w:line="240" w:lineRule="auto"/>
            </w:pPr>
            <w:r>
              <w:rPr>
                <w:rFonts w:ascii="Aptos" w:hAnsi="Aptos"/>
                <w:sz w:val="18"/>
              </w:rPr>
              <w:t>434.5</w:t>
            </w:r>
          </w:p>
        </w:tc>
        <w:tc>
          <w:tcPr>
            <w:tcW w:type="dxa" w:w="1728"/>
            <w:tcMar>
              <w:top w:w="100" w:type="dxa"/>
              <w:start w:w="110" w:type="dxa"/>
              <w:bottom w:w="100" w:type="dxa"/>
              <w:end w:w="110" w:type="dxa"/>
            </w:tcMar>
            <w:vAlign w:val="center"/>
          </w:tcPr>
          <w:p>
            <w:pPr>
              <w:spacing w:after="0" w:line="240" w:lineRule="auto"/>
            </w:pPr>
            <w:r>
              <w:rPr>
                <w:rFonts w:ascii="Aptos" w:hAnsi="Aptos"/>
                <w:sz w:val="18"/>
              </w:rPr>
              <w:t>1.7</w:t>
            </w:r>
          </w:p>
        </w:tc>
      </w:tr>
      <w:tr>
        <w:trPr>
          <w:cantSplit/>
        </w:trPr>
        <w:tc>
          <w:tcPr>
            <w:tcW w:type="dxa" w:w="2448"/>
            <w:tcMar>
              <w:top w:w="100" w:type="dxa"/>
              <w:start w:w="110" w:type="dxa"/>
              <w:bottom w:w="100" w:type="dxa"/>
              <w:end w:w="110" w:type="dxa"/>
            </w:tcMar>
            <w:vAlign w:val="center"/>
            <w:shd w:fill="EAF2F8"/>
          </w:tcPr>
          <w:p>
            <w:pPr>
              <w:spacing w:after="0" w:line="240" w:lineRule="auto"/>
            </w:pPr>
            <w:r>
              <w:rPr>
                <w:rFonts w:ascii="Aptos" w:hAnsi="Aptos"/>
                <w:sz w:val="18"/>
              </w:rPr>
              <w:t>Recent one-time buyers</w:t>
            </w:r>
          </w:p>
        </w:tc>
        <w:tc>
          <w:tcPr>
            <w:tcW w:type="dxa" w:w="1224"/>
            <w:tcMar>
              <w:top w:w="100" w:type="dxa"/>
              <w:start w:w="110" w:type="dxa"/>
              <w:bottom w:w="100" w:type="dxa"/>
              <w:end w:w="110" w:type="dxa"/>
            </w:tcMar>
            <w:vAlign w:val="center"/>
            <w:shd w:fill="EAF2F8"/>
          </w:tcPr>
          <w:p>
            <w:pPr>
              <w:spacing w:after="0" w:line="240" w:lineRule="auto"/>
            </w:pPr>
            <w:r>
              <w:rPr>
                <w:rFonts w:ascii="Aptos" w:hAnsi="Aptos"/>
                <w:sz w:val="18"/>
              </w:rPr>
              <w:t>360</w:t>
            </w:r>
          </w:p>
        </w:tc>
        <w:tc>
          <w:tcPr>
            <w:tcW w:type="dxa" w:w="2160"/>
            <w:tcMar>
              <w:top w:w="100" w:type="dxa"/>
              <w:start w:w="110" w:type="dxa"/>
              <w:bottom w:w="100" w:type="dxa"/>
              <w:end w:w="110" w:type="dxa"/>
            </w:tcMar>
            <w:vAlign w:val="center"/>
            <w:shd w:fill="EAF2F8"/>
          </w:tcPr>
          <w:p>
            <w:pPr>
              <w:spacing w:after="0" w:line="240" w:lineRule="auto"/>
            </w:pPr>
            <w:r>
              <w:rPr>
                <w:rFonts w:ascii="Aptos" w:hAnsi="Aptos"/>
                <w:sz w:val="18"/>
              </w:rPr>
              <w:t>£135,953.64</w:t>
            </w:r>
          </w:p>
        </w:tc>
        <w:tc>
          <w:tcPr>
            <w:tcW w:type="dxa" w:w="1728"/>
            <w:tcMar>
              <w:top w:w="100" w:type="dxa"/>
              <w:start w:w="110" w:type="dxa"/>
              <w:bottom w:w="100" w:type="dxa"/>
              <w:end w:w="110" w:type="dxa"/>
            </w:tcMar>
            <w:vAlign w:val="center"/>
            <w:shd w:fill="EAF2F8"/>
          </w:tcPr>
          <w:p>
            <w:pPr>
              <w:spacing w:after="0" w:line="240" w:lineRule="auto"/>
            </w:pPr>
            <w:r>
              <w:rPr>
                <w:rFonts w:ascii="Aptos" w:hAnsi="Aptos"/>
                <w:sz w:val="18"/>
              </w:rPr>
              <w:t>45.0</w:t>
            </w:r>
          </w:p>
        </w:tc>
        <w:tc>
          <w:tcPr>
            <w:tcW w:type="dxa" w:w="1728"/>
            <w:tcMar>
              <w:top w:w="100" w:type="dxa"/>
              <w:start w:w="110" w:type="dxa"/>
              <w:bottom w:w="100" w:type="dxa"/>
              <w:end w:w="110" w:type="dxa"/>
            </w:tcMar>
            <w:vAlign w:val="center"/>
            <w:shd w:fill="EAF2F8"/>
          </w:tcPr>
          <w:p>
            <w:pPr>
              <w:spacing w:after="0" w:line="240" w:lineRule="auto"/>
            </w:pPr>
            <w:r>
              <w:rPr>
                <w:rFonts w:ascii="Aptos" w:hAnsi="Aptos"/>
                <w:sz w:val="18"/>
              </w:rPr>
              <w:t>1.0</w:t>
            </w:r>
          </w:p>
        </w:tc>
      </w:tr>
      <w:tr>
        <w:trPr>
          <w:cantSplit/>
        </w:trPr>
        <w:tc>
          <w:tcPr>
            <w:tcW w:type="dxa" w:w="2448"/>
            <w:tcMar>
              <w:top w:w="100" w:type="dxa"/>
              <w:start w:w="110" w:type="dxa"/>
              <w:bottom w:w="100" w:type="dxa"/>
              <w:end w:w="110" w:type="dxa"/>
            </w:tcMar>
            <w:vAlign w:val="center"/>
          </w:tcPr>
          <w:p>
            <w:pPr>
              <w:spacing w:after="0" w:line="240" w:lineRule="auto"/>
            </w:pPr>
            <w:r>
              <w:rPr>
                <w:rFonts w:ascii="Aptos" w:hAnsi="Aptos"/>
                <w:sz w:val="18"/>
              </w:rPr>
              <w:t>Review net credits</w:t>
            </w:r>
          </w:p>
        </w:tc>
        <w:tc>
          <w:tcPr>
            <w:tcW w:type="dxa" w:w="1224"/>
            <w:tcMar>
              <w:top w:w="100" w:type="dxa"/>
              <w:start w:w="110" w:type="dxa"/>
              <w:bottom w:w="100" w:type="dxa"/>
              <w:end w:w="110" w:type="dxa"/>
            </w:tcMar>
            <w:vAlign w:val="center"/>
          </w:tcPr>
          <w:p>
            <w:pPr>
              <w:spacing w:after="0" w:line="240" w:lineRule="auto"/>
            </w:pPr>
            <w:r>
              <w:rPr>
                <w:rFonts w:ascii="Aptos" w:hAnsi="Aptos"/>
                <w:sz w:val="18"/>
              </w:rPr>
              <w:t>20</w:t>
            </w:r>
          </w:p>
        </w:tc>
        <w:tc>
          <w:tcPr>
            <w:tcW w:type="dxa" w:w="2160"/>
            <w:tcMar>
              <w:top w:w="100" w:type="dxa"/>
              <w:start w:w="110" w:type="dxa"/>
              <w:bottom w:w="100" w:type="dxa"/>
              <w:end w:w="110" w:type="dxa"/>
            </w:tcMar>
            <w:vAlign w:val="center"/>
          </w:tcPr>
          <w:p>
            <w:pPr>
              <w:spacing w:after="0" w:line="240" w:lineRule="auto"/>
            </w:pPr>
            <w:r>
              <w:rPr>
                <w:rFonts w:ascii="Aptos" w:hAnsi="Aptos"/>
                <w:sz w:val="18"/>
              </w:rPr>
              <w:t>-£3,036.75</w:t>
            </w:r>
          </w:p>
        </w:tc>
        <w:tc>
          <w:tcPr>
            <w:tcW w:type="dxa" w:w="1728"/>
            <w:tcMar>
              <w:top w:w="100" w:type="dxa"/>
              <w:start w:w="110" w:type="dxa"/>
              <w:bottom w:w="100" w:type="dxa"/>
              <w:end w:w="110" w:type="dxa"/>
            </w:tcMar>
            <w:vAlign w:val="center"/>
          </w:tcPr>
          <w:p>
            <w:pPr>
              <w:spacing w:after="0" w:line="240" w:lineRule="auto"/>
            </w:pPr>
            <w:r>
              <w:rPr>
                <w:rFonts w:ascii="Aptos" w:hAnsi="Aptos"/>
                <w:sz w:val="18"/>
              </w:rPr>
              <w:t>302.5</w:t>
            </w:r>
          </w:p>
        </w:tc>
        <w:tc>
          <w:tcPr>
            <w:tcW w:type="dxa" w:w="1728"/>
            <w:tcMar>
              <w:top w:w="100" w:type="dxa"/>
              <w:start w:w="110" w:type="dxa"/>
              <w:bottom w:w="100" w:type="dxa"/>
              <w:end w:w="110" w:type="dxa"/>
            </w:tcMar>
            <w:vAlign w:val="center"/>
          </w:tcPr>
          <w:p>
            <w:pPr>
              <w:spacing w:after="0" w:line="240" w:lineRule="auto"/>
            </w:pPr>
            <w:r>
              <w:rPr>
                <w:rFonts w:ascii="Aptos" w:hAnsi="Aptos"/>
                <w:sz w:val="18"/>
              </w:rPr>
              <w:t>1.1</w:t>
            </w:r>
          </w:p>
        </w:tc>
      </w:tr>
    </w:tbl>
    <w:p>
      <w:pPr>
        <w:spacing w:after="0"/>
      </w:pPr>
    </w:p>
    <w:p>
      <w:pPr>
        <w:pStyle w:val="Heading1"/>
      </w:pPr>
      <w:r>
        <w:t>Recommended business actions</w:t>
      </w:r>
    </w:p>
    <w:p>
      <w:pPr>
        <w:pStyle w:val="ListBullet"/>
      </w:pPr>
      <w:r>
        <w:t>Protect Champion customers with early access, recognition and relevant replenishment or cross-sell offers.</w:t>
      </w:r>
    </w:p>
    <w:p>
      <w:pPr>
        <w:pStyle w:val="ListBullet"/>
      </w:pPr>
      <w:r>
        <w:t>Target At Risk customers with a time-bound reactivation campaign based on their previous product categories.</w:t>
      </w:r>
    </w:p>
    <w:p>
      <w:pPr>
        <w:pStyle w:val="ListBullet"/>
      </w:pPr>
      <w:r>
        <w:t>Use a low-cost sequence for Inactive buyers because the group is large but has modest average value.</w:t>
      </w:r>
    </w:p>
    <w:p>
      <w:pPr>
        <w:pStyle w:val="ListBullet"/>
      </w:pPr>
      <w:r>
        <w:t>Develop overseas-market plans for EIRE and the Netherlands while monitoring dependence on the UK market.</w:t>
      </w:r>
    </w:p>
    <w:p>
      <w:pPr>
        <w:pStyle w:val="ListBullet"/>
      </w:pPr>
      <w:r>
        <w:t>Investigate extreme purchase-credit pairs and products with negative net units before operational decisions are made.</w:t>
      </w:r>
    </w:p>
    <w:p>
      <w:pPr>
        <w:pStyle w:val="Heading1"/>
      </w:pPr>
      <w:r>
        <w:t>Limitations and interpretation rules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blHeader w:val="true"/>
        </w:trPr>
        <w:tc>
          <w:tcPr>
            <w:tcW w:type="dxa" w:w="2376"/>
            <w:tcMar>
              <w:top w:w="100" w:type="dxa"/>
              <w:start w:w="110" w:type="dxa"/>
              <w:bottom w:w="100" w:type="dxa"/>
              <w:end w:w="110" w:type="dxa"/>
            </w:tcMar>
            <w:vAlign w:val="center"/>
            <w:shd w:fill="1F4E78"/>
          </w:tcPr>
          <w:p>
            <w:pPr>
              <w:spacing w:after="0" w:line="240" w:lineRule="auto"/>
            </w:pPr>
            <w:r>
              <w:rPr>
                <w:rFonts w:ascii="Aptos" w:hAnsi="Aptos"/>
                <w:b/>
                <w:color w:val="FFFFFF"/>
                <w:sz w:val="18"/>
              </w:rPr>
              <w:t>Limitation</w:t>
            </w:r>
          </w:p>
        </w:tc>
        <w:tc>
          <w:tcPr>
            <w:tcW w:type="dxa" w:w="7488"/>
            <w:tcMar>
              <w:top w:w="100" w:type="dxa"/>
              <w:start w:w="110" w:type="dxa"/>
              <w:bottom w:w="100" w:type="dxa"/>
              <w:end w:w="110" w:type="dxa"/>
            </w:tcMar>
            <w:vAlign w:val="center"/>
            <w:shd w:fill="1F4E78"/>
          </w:tcPr>
          <w:p>
            <w:pPr>
              <w:spacing w:after="0" w:line="240" w:lineRule="auto"/>
            </w:pPr>
            <w:r>
              <w:rPr>
                <w:rFonts w:ascii="Aptos" w:hAnsi="Aptos"/>
                <w:b/>
                <w:color w:val="FFFFFF"/>
                <w:sz w:val="18"/>
              </w:rPr>
              <w:t>Interpretation</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No cost data</w:t>
            </w:r>
          </w:p>
        </w:tc>
        <w:tc>
          <w:tcPr>
            <w:tcW w:type="dxa" w:w="7488"/>
            <w:tcMar>
              <w:top w:w="100" w:type="dxa"/>
              <w:start w:w="110" w:type="dxa"/>
              <w:bottom w:w="100" w:type="dxa"/>
              <w:end w:w="110" w:type="dxa"/>
            </w:tcMar>
            <w:vAlign w:val="center"/>
          </w:tcPr>
          <w:p>
            <w:pPr>
              <w:spacing w:after="0" w:line="240" w:lineRule="auto"/>
            </w:pPr>
            <w:r>
              <w:rPr>
                <w:rFonts w:ascii="Aptos" w:hAnsi="Aptos"/>
                <w:sz w:val="18"/>
              </w:rPr>
              <w:t>Profit and profit margin cannot be calculated. Sales value must not be labelled profit.</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Missing customer IDs</w:t>
            </w:r>
          </w:p>
        </w:tc>
        <w:tc>
          <w:tcPr>
            <w:tcW w:type="dxa" w:w="7488"/>
            <w:tcMar>
              <w:top w:w="100" w:type="dxa"/>
              <w:start w:w="110" w:type="dxa"/>
              <w:bottom w:w="100" w:type="dxa"/>
              <w:end w:w="110" w:type="dxa"/>
            </w:tcMar>
            <w:vAlign w:val="center"/>
            <w:shd w:fill="EAF2F8"/>
          </w:tcPr>
          <w:p>
            <w:pPr>
              <w:spacing w:after="0" w:line="240" w:lineRule="auto"/>
            </w:pPr>
            <w:r>
              <w:rPr>
                <w:rFonts w:ascii="Aptos" w:hAnsi="Aptos"/>
                <w:sz w:val="18"/>
              </w:rPr>
              <w:t>£2.67 million of net sales is associated with 234,722 transaction lines without a customer ID and cannot enter customer-level RFM.</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Historical observation window</w:t>
            </w:r>
          </w:p>
        </w:tc>
        <w:tc>
          <w:tcPr>
            <w:tcW w:type="dxa" w:w="7488"/>
            <w:tcMar>
              <w:top w:w="100" w:type="dxa"/>
              <w:start w:w="110" w:type="dxa"/>
              <w:bottom w:w="100" w:type="dxa"/>
              <w:end w:w="110" w:type="dxa"/>
            </w:tcMar>
            <w:vAlign w:val="center"/>
          </w:tcPr>
          <w:p>
            <w:pPr>
              <w:spacing w:after="0" w:line="240" w:lineRule="auto"/>
            </w:pPr>
            <w:r>
              <w:rPr>
                <w:rFonts w:ascii="Aptos" w:hAnsi="Aptos"/>
                <w:sz w:val="18"/>
              </w:rPr>
              <w:t>RFM recency is measured as of 10 December 2011. Segment labels describe this dataset period, not current customer status.</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Credits are not proven returns</w:t>
            </w:r>
          </w:p>
        </w:tc>
        <w:tc>
          <w:tcPr>
            <w:tcW w:type="dxa" w:w="7488"/>
            <w:tcMar>
              <w:top w:w="100" w:type="dxa"/>
              <w:start w:w="110" w:type="dxa"/>
              <w:bottom w:w="100" w:type="dxa"/>
              <w:end w:w="110" w:type="dxa"/>
            </w:tcMar>
            <w:vAlign w:val="center"/>
            <w:shd w:fill="EAF2F8"/>
          </w:tcPr>
          <w:p>
            <w:pPr>
              <w:spacing w:after="0" w:line="240" w:lineRule="auto"/>
            </w:pPr>
            <w:r>
              <w:rPr>
                <w:rFonts w:ascii="Aptos" w:hAnsi="Aptos"/>
                <w:sz w:val="18"/>
              </w:rPr>
              <w:t>Cancellation lines are reported as credits because the data does not identify the operational reason.</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Exact repeats retained</w:t>
            </w:r>
          </w:p>
        </w:tc>
        <w:tc>
          <w:tcPr>
            <w:tcW w:type="dxa" w:w="7488"/>
            <w:tcMar>
              <w:top w:w="100" w:type="dxa"/>
              <w:start w:w="110" w:type="dxa"/>
              <w:bottom w:w="100" w:type="dxa"/>
              <w:end w:w="110" w:type="dxa"/>
            </w:tcMar>
            <w:vAlign w:val="center"/>
          </w:tcPr>
          <w:p>
            <w:pPr>
              <w:spacing w:after="0" w:line="240" w:lineRule="auto"/>
            </w:pPr>
            <w:r>
              <w:rPr>
                <w:rFonts w:ascii="Aptos" w:hAnsi="Aptos"/>
                <w:sz w:val="18"/>
              </w:rPr>
              <w:t>The main results retain repeat-flagged rows. Removing them would be a sensitivity scenario rather than an established correction.</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Partial final month</w:t>
            </w:r>
          </w:p>
        </w:tc>
        <w:tc>
          <w:tcPr>
            <w:tcW w:type="dxa" w:w="7488"/>
            <w:tcMar>
              <w:top w:w="100" w:type="dxa"/>
              <w:start w:w="110" w:type="dxa"/>
              <w:bottom w:w="100" w:type="dxa"/>
              <w:end w:w="110" w:type="dxa"/>
            </w:tcMar>
            <w:vAlign w:val="center"/>
            <w:shd w:fill="EAF2F8"/>
          </w:tcPr>
          <w:p>
            <w:pPr>
              <w:spacing w:after="0" w:line="240" w:lineRule="auto"/>
            </w:pPr>
            <w:r>
              <w:rPr>
                <w:rFonts w:ascii="Aptos" w:hAnsi="Aptos"/>
                <w:sz w:val="18"/>
              </w:rPr>
              <w:t>December 2011 ends on December 9 and is not suitable for a full-month growth comparison.</w:t>
            </w:r>
          </w:p>
        </w:tc>
      </w:tr>
      <w:tr>
        <w:trPr>
          <w:cantSplit/>
        </w:trPr>
        <w:tc>
          <w:tcPr>
            <w:tcW w:type="dxa" w:w="2376"/>
            <w:tcMar>
              <w:top w:w="100" w:type="dxa"/>
              <w:start w:w="110" w:type="dxa"/>
              <w:bottom w:w="100" w:type="dxa"/>
              <w:end w:w="110" w:type="dxa"/>
            </w:tcMar>
            <w:vAlign w:val="center"/>
          </w:tcPr>
          <w:p>
            <w:pPr>
              <w:spacing w:after="0" w:line="240" w:lineRule="auto"/>
            </w:pPr>
            <w:r>
              <w:rPr>
                <w:rFonts w:ascii="Aptos" w:hAnsi="Aptos"/>
                <w:sz w:val="18"/>
              </w:rPr>
              <w:t>Aggregate Power BI tables</w:t>
            </w:r>
          </w:p>
        </w:tc>
        <w:tc>
          <w:tcPr>
            <w:tcW w:type="dxa" w:w="7488"/>
            <w:tcMar>
              <w:top w:w="100" w:type="dxa"/>
              <w:start w:w="110" w:type="dxa"/>
              <w:bottom w:w="100" w:type="dxa"/>
              <w:end w:w="110" w:type="dxa"/>
            </w:tcMar>
            <w:vAlign w:val="center"/>
          </w:tcPr>
          <w:p>
            <w:pPr>
              <w:spacing w:after="0" w:line="240" w:lineRule="auto"/>
            </w:pPr>
            <w:r>
              <w:rPr>
                <w:rFonts w:ascii="Aptos" w:hAnsi="Aptos"/>
                <w:sz w:val="18"/>
              </w:rPr>
              <w:t>Country, product and customer pages are full-period summaries. The month slicer does not filter those pages.</w:t>
            </w:r>
          </w:p>
        </w:tc>
      </w:tr>
      <w:tr>
        <w:trPr>
          <w:cantSplit/>
        </w:trPr>
        <w:tc>
          <w:tcPr>
            <w:tcW w:type="dxa" w:w="2376"/>
            <w:tcMar>
              <w:top w:w="100" w:type="dxa"/>
              <w:start w:w="110" w:type="dxa"/>
              <w:bottom w:w="100" w:type="dxa"/>
              <w:end w:w="110" w:type="dxa"/>
            </w:tcMar>
            <w:vAlign w:val="center"/>
            <w:shd w:fill="EAF2F8"/>
          </w:tcPr>
          <w:p>
            <w:pPr>
              <w:spacing w:after="0" w:line="240" w:lineRule="auto"/>
            </w:pPr>
            <w:r>
              <w:rPr>
                <w:rFonts w:ascii="Aptos" w:hAnsi="Aptos"/>
                <w:sz w:val="18"/>
              </w:rPr>
              <w:t>Rounding</w:t>
            </w:r>
          </w:p>
        </w:tc>
        <w:tc>
          <w:tcPr>
            <w:tcW w:type="dxa" w:w="7488"/>
            <w:tcMar>
              <w:top w:w="100" w:type="dxa"/>
              <w:start w:w="110" w:type="dxa"/>
              <w:bottom w:w="100" w:type="dxa"/>
              <w:end w:w="110" w:type="dxa"/>
            </w:tcMar>
            <w:vAlign w:val="center"/>
            <w:shd w:fill="EAF2F8"/>
          </w:tcPr>
          <w:p>
            <w:pPr>
              <w:spacing w:after="0" w:line="240" w:lineRule="auto"/>
            </w:pPr>
            <w:r>
              <w:rPr>
                <w:rFonts w:ascii="Aptos" w:hAnsi="Aptos"/>
                <w:sz w:val="18"/>
              </w:rPr>
              <w:t>Summing customer-level values rounded to two decimals differs from direct transaction aggregation by two pence.</w:t>
            </w:r>
          </w:p>
        </w:tc>
      </w:tr>
    </w:tbl>
    <w:p>
      <w:pPr>
        <w:spacing w:after="0"/>
      </w:pPr>
    </w:p>
    <w:p>
      <w:pPr>
        <w:pStyle w:val="Heading1"/>
      </w:pPr>
      <w:r>
        <w:t>Validation summary</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97"/>
        <w:gridCol w:w="4997"/>
      </w:tblGrid>
      <w:tr>
        <w:trPr>
          <w:cantSplit/>
          <w:tblHeader w:val="true"/>
        </w:trPr>
        <w:tc>
          <w:tcPr>
            <w:tcW w:type="dxa" w:w="5040"/>
            <w:tcMar>
              <w:top w:w="100" w:type="dxa"/>
              <w:start w:w="110" w:type="dxa"/>
              <w:bottom w:w="100" w:type="dxa"/>
              <w:end w:w="110" w:type="dxa"/>
            </w:tcMar>
            <w:vAlign w:val="center"/>
            <w:shd w:fill="1F4E78"/>
          </w:tcPr>
          <w:p>
            <w:pPr>
              <w:spacing w:after="0" w:line="240" w:lineRule="auto"/>
            </w:pPr>
            <w:r>
              <w:rPr>
                <w:rFonts w:ascii="Aptos" w:hAnsi="Aptos"/>
                <w:b/>
                <w:color w:val="FFFFFF"/>
                <w:sz w:val="18"/>
              </w:rPr>
              <w:t>Validation item</w:t>
            </w:r>
          </w:p>
        </w:tc>
        <w:tc>
          <w:tcPr>
            <w:tcW w:type="dxa" w:w="4824"/>
            <w:tcMar>
              <w:top w:w="100" w:type="dxa"/>
              <w:start w:w="110" w:type="dxa"/>
              <w:bottom w:w="100" w:type="dxa"/>
              <w:end w:w="110" w:type="dxa"/>
            </w:tcMar>
            <w:vAlign w:val="center"/>
            <w:shd w:fill="1F4E78"/>
          </w:tcPr>
          <w:p>
            <w:pPr>
              <w:spacing w:after="0" w:line="240" w:lineRule="auto"/>
            </w:pPr>
            <w:r>
              <w:rPr>
                <w:rFonts w:ascii="Aptos" w:hAnsi="Aptos"/>
                <w:b/>
                <w:color w:val="FFFFFF"/>
                <w:sz w:val="18"/>
              </w:rPr>
              <w:t>Expected result</w:t>
            </w:r>
          </w:p>
        </w:tc>
      </w:tr>
      <w:tr>
        <w:trPr>
          <w:cantSplit/>
        </w:trPr>
        <w:tc>
          <w:tcPr>
            <w:tcW w:type="dxa" w:w="5040"/>
            <w:tcMar>
              <w:top w:w="100" w:type="dxa"/>
              <w:start w:w="110" w:type="dxa"/>
              <w:bottom w:w="100" w:type="dxa"/>
              <w:end w:w="110" w:type="dxa"/>
            </w:tcMar>
            <w:vAlign w:val="center"/>
          </w:tcPr>
          <w:p>
            <w:pPr>
              <w:spacing w:after="0" w:line="240" w:lineRule="auto"/>
            </w:pPr>
            <w:r>
              <w:rPr>
                <w:rFonts w:ascii="Aptos" w:hAnsi="Aptos"/>
                <w:sz w:val="18"/>
              </w:rPr>
              <w:t>Source rows</w:t>
            </w:r>
          </w:p>
        </w:tc>
        <w:tc>
          <w:tcPr>
            <w:tcW w:type="dxa" w:w="4824"/>
            <w:tcMar>
              <w:top w:w="100" w:type="dxa"/>
              <w:start w:w="110" w:type="dxa"/>
              <w:bottom w:w="100" w:type="dxa"/>
              <w:end w:w="110" w:type="dxa"/>
            </w:tcMar>
            <w:vAlign w:val="center"/>
          </w:tcPr>
          <w:p>
            <w:pPr>
              <w:spacing w:after="0" w:line="240" w:lineRule="auto"/>
            </w:pPr>
            <w:r>
              <w:rPr>
                <w:rFonts w:ascii="Aptos" w:hAnsi="Aptos"/>
                <w:sz w:val="18"/>
              </w:rPr>
              <w:t>1,067,371</w:t>
            </w:r>
          </w:p>
        </w:tc>
      </w:tr>
      <w:tr>
        <w:trPr>
          <w:cantSplit/>
        </w:trPr>
        <w:tc>
          <w:tcPr>
            <w:tcW w:type="dxa" w:w="5040"/>
            <w:tcMar>
              <w:top w:w="100" w:type="dxa"/>
              <w:start w:w="110" w:type="dxa"/>
              <w:bottom w:w="100" w:type="dxa"/>
              <w:end w:w="110" w:type="dxa"/>
            </w:tcMar>
            <w:vAlign w:val="center"/>
            <w:shd w:fill="EAF2F8"/>
          </w:tcPr>
          <w:p>
            <w:pPr>
              <w:spacing w:after="0" w:line="240" w:lineRule="auto"/>
            </w:pPr>
            <w:r>
              <w:rPr>
                <w:rFonts w:ascii="Aptos" w:hAnsi="Aptos"/>
                <w:sz w:val="18"/>
              </w:rPr>
              <w:t>Merchandise purchase lines</w:t>
            </w:r>
          </w:p>
        </w:tc>
        <w:tc>
          <w:tcPr>
            <w:tcW w:type="dxa" w:w="4824"/>
            <w:tcMar>
              <w:top w:w="100" w:type="dxa"/>
              <w:start w:w="110" w:type="dxa"/>
              <w:bottom w:w="100" w:type="dxa"/>
              <w:end w:w="110" w:type="dxa"/>
            </w:tcMar>
            <w:vAlign w:val="center"/>
            <w:shd w:fill="EAF2F8"/>
          </w:tcPr>
          <w:p>
            <w:pPr>
              <w:spacing w:after="0" w:line="240" w:lineRule="auto"/>
            </w:pPr>
            <w:r>
              <w:rPr>
                <w:rFonts w:ascii="Aptos" w:hAnsi="Aptos"/>
                <w:sz w:val="18"/>
              </w:rPr>
              <w:t>1,037,021</w:t>
            </w:r>
          </w:p>
        </w:tc>
      </w:tr>
      <w:tr>
        <w:trPr>
          <w:cantSplit/>
        </w:trPr>
        <w:tc>
          <w:tcPr>
            <w:tcW w:type="dxa" w:w="5040"/>
            <w:tcMar>
              <w:top w:w="100" w:type="dxa"/>
              <w:start w:w="110" w:type="dxa"/>
              <w:bottom w:w="100" w:type="dxa"/>
              <w:end w:w="110" w:type="dxa"/>
            </w:tcMar>
            <w:vAlign w:val="center"/>
          </w:tcPr>
          <w:p>
            <w:pPr>
              <w:spacing w:after="0" w:line="240" w:lineRule="auto"/>
            </w:pPr>
            <w:r>
              <w:rPr>
                <w:rFonts w:ascii="Aptos" w:hAnsi="Aptos"/>
                <w:sz w:val="18"/>
              </w:rPr>
              <w:t>Positive purchase invoices</w:t>
            </w:r>
          </w:p>
        </w:tc>
        <w:tc>
          <w:tcPr>
            <w:tcW w:type="dxa" w:w="4824"/>
            <w:tcMar>
              <w:top w:w="100" w:type="dxa"/>
              <w:start w:w="110" w:type="dxa"/>
              <w:bottom w:w="100" w:type="dxa"/>
              <w:end w:w="110" w:type="dxa"/>
            </w:tcMar>
            <w:vAlign w:val="center"/>
          </w:tcPr>
          <w:p>
            <w:pPr>
              <w:spacing w:after="0" w:line="240" w:lineRule="auto"/>
            </w:pPr>
            <w:r>
              <w:rPr>
                <w:rFonts w:ascii="Aptos" w:hAnsi="Aptos"/>
                <w:sz w:val="18"/>
              </w:rPr>
              <w:t>39,516</w:t>
            </w:r>
          </w:p>
        </w:tc>
      </w:tr>
      <w:tr>
        <w:trPr>
          <w:cantSplit/>
        </w:trPr>
        <w:tc>
          <w:tcPr>
            <w:tcW w:type="dxa" w:w="5040"/>
            <w:tcMar>
              <w:top w:w="100" w:type="dxa"/>
              <w:start w:w="110" w:type="dxa"/>
              <w:bottom w:w="100" w:type="dxa"/>
              <w:end w:w="110" w:type="dxa"/>
            </w:tcMar>
            <w:vAlign w:val="center"/>
            <w:shd w:fill="EAF2F8"/>
          </w:tcPr>
          <w:p>
            <w:pPr>
              <w:spacing w:after="0" w:line="240" w:lineRule="auto"/>
            </w:pPr>
            <w:r>
              <w:rPr>
                <w:rFonts w:ascii="Aptos" w:hAnsi="Aptos"/>
                <w:sz w:val="18"/>
              </w:rPr>
              <w:t>Gross sales</w:t>
            </w:r>
          </w:p>
        </w:tc>
        <w:tc>
          <w:tcPr>
            <w:tcW w:type="dxa" w:w="4824"/>
            <w:tcMar>
              <w:top w:w="100" w:type="dxa"/>
              <w:start w:w="110" w:type="dxa"/>
              <w:bottom w:w="100" w:type="dxa"/>
              <w:end w:w="110" w:type="dxa"/>
            </w:tcMar>
            <w:vAlign w:val="center"/>
            <w:shd w:fill="EAF2F8"/>
          </w:tcPr>
          <w:p>
            <w:pPr>
              <w:spacing w:after="0" w:line="240" w:lineRule="auto"/>
            </w:pPr>
            <w:r>
              <w:rPr>
                <w:rFonts w:ascii="Aptos" w:hAnsi="Aptos"/>
                <w:sz w:val="18"/>
              </w:rPr>
              <w:t>£20,110,181.02</w:t>
            </w:r>
          </w:p>
        </w:tc>
      </w:tr>
      <w:tr>
        <w:trPr>
          <w:cantSplit/>
        </w:trPr>
        <w:tc>
          <w:tcPr>
            <w:tcW w:type="dxa" w:w="5040"/>
            <w:tcMar>
              <w:top w:w="100" w:type="dxa"/>
              <w:start w:w="110" w:type="dxa"/>
              <w:bottom w:w="100" w:type="dxa"/>
              <w:end w:w="110" w:type="dxa"/>
            </w:tcMar>
            <w:vAlign w:val="center"/>
          </w:tcPr>
          <w:p>
            <w:pPr>
              <w:spacing w:after="0" w:line="240" w:lineRule="auto"/>
            </w:pPr>
            <w:r>
              <w:rPr>
                <w:rFonts w:ascii="Aptos" w:hAnsi="Aptos"/>
                <w:sz w:val="18"/>
              </w:rPr>
              <w:t>Product credits</w:t>
            </w:r>
          </w:p>
        </w:tc>
        <w:tc>
          <w:tcPr>
            <w:tcW w:type="dxa" w:w="4824"/>
            <w:tcMar>
              <w:top w:w="100" w:type="dxa"/>
              <w:start w:w="110" w:type="dxa"/>
              <w:bottom w:w="100" w:type="dxa"/>
              <w:end w:w="110" w:type="dxa"/>
            </w:tcMar>
            <w:vAlign w:val="center"/>
          </w:tcPr>
          <w:p>
            <w:pPr>
              <w:spacing w:after="0" w:line="240" w:lineRule="auto"/>
            </w:pPr>
            <w:r>
              <w:rPr>
                <w:rFonts w:ascii="Aptos" w:hAnsi="Aptos"/>
                <w:sz w:val="18"/>
              </w:rPr>
              <w:t>£726,555.99</w:t>
            </w:r>
          </w:p>
        </w:tc>
      </w:tr>
      <w:tr>
        <w:trPr>
          <w:cantSplit/>
        </w:trPr>
        <w:tc>
          <w:tcPr>
            <w:tcW w:type="dxa" w:w="5040"/>
            <w:tcMar>
              <w:top w:w="100" w:type="dxa"/>
              <w:start w:w="110" w:type="dxa"/>
              <w:bottom w:w="100" w:type="dxa"/>
              <w:end w:w="110" w:type="dxa"/>
            </w:tcMar>
            <w:vAlign w:val="center"/>
            <w:shd w:fill="EAF2F8"/>
          </w:tcPr>
          <w:p>
            <w:pPr>
              <w:spacing w:after="0" w:line="240" w:lineRule="auto"/>
            </w:pPr>
            <w:r>
              <w:rPr>
                <w:rFonts w:ascii="Aptos" w:hAnsi="Aptos"/>
                <w:sz w:val="18"/>
              </w:rPr>
              <w:t>Net sales</w:t>
            </w:r>
          </w:p>
        </w:tc>
        <w:tc>
          <w:tcPr>
            <w:tcW w:type="dxa" w:w="4824"/>
            <w:tcMar>
              <w:top w:w="100" w:type="dxa"/>
              <w:start w:w="110" w:type="dxa"/>
              <w:bottom w:w="100" w:type="dxa"/>
              <w:end w:w="110" w:type="dxa"/>
            </w:tcMar>
            <w:vAlign w:val="center"/>
            <w:shd w:fill="EAF2F8"/>
          </w:tcPr>
          <w:p>
            <w:pPr>
              <w:spacing w:after="0" w:line="240" w:lineRule="auto"/>
            </w:pPr>
            <w:r>
              <w:rPr>
                <w:rFonts w:ascii="Aptos" w:hAnsi="Aptos"/>
                <w:sz w:val="18"/>
              </w:rPr>
              <w:t>£19,383,625.03</w:t>
            </w:r>
          </w:p>
        </w:tc>
      </w:tr>
      <w:tr>
        <w:trPr>
          <w:cantSplit/>
        </w:trPr>
        <w:tc>
          <w:tcPr>
            <w:tcW w:type="dxa" w:w="5040"/>
            <w:tcMar>
              <w:top w:w="100" w:type="dxa"/>
              <w:start w:w="110" w:type="dxa"/>
              <w:bottom w:w="100" w:type="dxa"/>
              <w:end w:w="110" w:type="dxa"/>
            </w:tcMar>
            <w:vAlign w:val="center"/>
          </w:tcPr>
          <w:p>
            <w:pPr>
              <w:spacing w:after="0" w:line="240" w:lineRule="auto"/>
            </w:pPr>
            <w:r>
              <w:rPr>
                <w:rFonts w:ascii="Aptos" w:hAnsi="Aptos"/>
                <w:sz w:val="18"/>
              </w:rPr>
              <w:t>Monthly rows</w:t>
            </w:r>
          </w:p>
        </w:tc>
        <w:tc>
          <w:tcPr>
            <w:tcW w:type="dxa" w:w="4824"/>
            <w:tcMar>
              <w:top w:w="100" w:type="dxa"/>
              <w:start w:w="110" w:type="dxa"/>
              <w:bottom w:w="100" w:type="dxa"/>
              <w:end w:w="110" w:type="dxa"/>
            </w:tcMar>
            <w:vAlign w:val="center"/>
          </w:tcPr>
          <w:p>
            <w:pPr>
              <w:spacing w:after="0" w:line="240" w:lineRule="auto"/>
            </w:pPr>
            <w:r>
              <w:rPr>
                <w:rFonts w:ascii="Aptos" w:hAnsi="Aptos"/>
                <w:sz w:val="18"/>
              </w:rPr>
              <w:t>25</w:t>
            </w:r>
          </w:p>
        </w:tc>
      </w:tr>
      <w:tr>
        <w:trPr>
          <w:cantSplit/>
        </w:trPr>
        <w:tc>
          <w:tcPr>
            <w:tcW w:type="dxa" w:w="5040"/>
            <w:tcMar>
              <w:top w:w="100" w:type="dxa"/>
              <w:start w:w="110" w:type="dxa"/>
              <w:bottom w:w="100" w:type="dxa"/>
              <w:end w:w="110" w:type="dxa"/>
            </w:tcMar>
            <w:vAlign w:val="center"/>
            <w:shd w:fill="EAF2F8"/>
          </w:tcPr>
          <w:p>
            <w:pPr>
              <w:spacing w:after="0" w:line="240" w:lineRule="auto"/>
            </w:pPr>
            <w:r>
              <w:rPr>
                <w:rFonts w:ascii="Aptos" w:hAnsi="Aptos"/>
                <w:sz w:val="18"/>
              </w:rPr>
              <w:t>Identified purchasing customers</w:t>
            </w:r>
          </w:p>
        </w:tc>
        <w:tc>
          <w:tcPr>
            <w:tcW w:type="dxa" w:w="4824"/>
            <w:tcMar>
              <w:top w:w="100" w:type="dxa"/>
              <w:start w:w="110" w:type="dxa"/>
              <w:bottom w:w="100" w:type="dxa"/>
              <w:end w:w="110" w:type="dxa"/>
            </w:tcMar>
            <w:vAlign w:val="center"/>
            <w:shd w:fill="EAF2F8"/>
          </w:tcPr>
          <w:p>
            <w:pPr>
              <w:spacing w:after="0" w:line="240" w:lineRule="auto"/>
            </w:pPr>
            <w:r>
              <w:rPr>
                <w:rFonts w:ascii="Aptos" w:hAnsi="Aptos"/>
                <w:sz w:val="18"/>
              </w:rPr>
              <w:t>5,852</w:t>
            </w:r>
          </w:p>
        </w:tc>
      </w:tr>
      <w:tr>
        <w:trPr>
          <w:cantSplit/>
        </w:trPr>
        <w:tc>
          <w:tcPr>
            <w:tcW w:type="dxa" w:w="5040"/>
            <w:tcMar>
              <w:top w:w="100" w:type="dxa"/>
              <w:start w:w="110" w:type="dxa"/>
              <w:bottom w:w="100" w:type="dxa"/>
              <w:end w:w="110" w:type="dxa"/>
            </w:tcMar>
            <w:vAlign w:val="center"/>
          </w:tcPr>
          <w:p>
            <w:pPr>
              <w:spacing w:after="0" w:line="240" w:lineRule="auto"/>
            </w:pPr>
            <w:r>
              <w:rPr>
                <w:rFonts w:ascii="Aptos" w:hAnsi="Aptos"/>
                <w:sz w:val="18"/>
              </w:rPr>
              <w:t>Country summary rows</w:t>
            </w:r>
          </w:p>
        </w:tc>
        <w:tc>
          <w:tcPr>
            <w:tcW w:type="dxa" w:w="4824"/>
            <w:tcMar>
              <w:top w:w="100" w:type="dxa"/>
              <w:start w:w="110" w:type="dxa"/>
              <w:bottom w:w="100" w:type="dxa"/>
              <w:end w:w="110" w:type="dxa"/>
            </w:tcMar>
            <w:vAlign w:val="center"/>
          </w:tcPr>
          <w:p>
            <w:pPr>
              <w:spacing w:after="0" w:line="240" w:lineRule="auto"/>
            </w:pPr>
            <w:r>
              <w:rPr>
                <w:rFonts w:ascii="Aptos" w:hAnsi="Aptos"/>
                <w:sz w:val="18"/>
              </w:rPr>
              <w:t>43 recorded country labels</w:t>
            </w:r>
          </w:p>
        </w:tc>
      </w:tr>
    </w:tbl>
    <w:p>
      <w:pPr>
        <w:spacing w:after="0"/>
      </w:pPr>
    </w:p>
    <w:p>
      <w:pPr>
        <w:pStyle w:val="Heading1"/>
      </w:pPr>
      <w:r>
        <w:t>Resume content</w:t>
      </w:r>
    </w:p>
    <w:p>
      <w:pPr>
        <w:pStyle w:val="Heading2"/>
      </w:pPr>
      <w:r>
        <w:t>Project title</w:t>
      </w:r>
    </w:p>
    <w:p>
      <w:r>
        <w:t>Retail Sales and Customer Analytics using SQL and Power BI</w:t>
      </w:r>
    </w:p>
    <w:p>
      <w:pPr>
        <w:pStyle w:val="Heading2"/>
      </w:pPr>
      <w:r>
        <w:t>Resume bullets</w:t>
      </w:r>
    </w:p>
    <w:p>
      <w:pPr>
        <w:pStyle w:val="ListBullet"/>
      </w:pPr>
      <w:r>
        <w:t>Analyzed 1.07 million retail invoice lines from the UCI Online Retail II dataset using MariaDB SQL and Power BI.</w:t>
      </w:r>
    </w:p>
    <w:p>
      <w:pPr>
        <w:pStyle w:val="ListBullet"/>
      </w:pPr>
      <w:r>
        <w:t>Built auditable SQL views for merchandise classification, cancellation credits, monthly trends, country and product performance, and RFM customer segmentation.</w:t>
      </w:r>
    </w:p>
    <w:p>
      <w:pPr>
        <w:pStyle w:val="ListBullet"/>
      </w:pPr>
      <w:r>
        <w:t>Reconciled £20.11 million in gross sales, £0.73 million in product credits and £19.38 million in net sales across 25 monthly periods.</w:t>
      </w:r>
    </w:p>
    <w:p>
      <w:pPr>
        <w:pStyle w:val="ListBullet"/>
      </w:pPr>
      <w:r>
        <w:t>Developed a four-page Power BI dashboard covering sales trends, geographic concentration, product performance and seven customer segments.</w:t>
      </w:r>
    </w:p>
    <w:p>
      <w:pPr>
        <w:pStyle w:val="ListBullet"/>
      </w:pPr>
      <w:r>
        <w:t>Identified that Champion customers represented 8.3 percent of identified purchasers and contributed 55.9 percent of identified-customer net sales.</w:t>
      </w:r>
    </w:p>
    <w:p>
      <w:pPr>
        <w:pStyle w:val="Heading2"/>
      </w:pPr>
      <w:r>
        <w:t>Skills demonstrated</w:t>
      </w:r>
    </w:p>
    <w:p>
      <w:r>
        <w:t>SQL data cleaning, MariaDB views, data validation, aggregation, CASE expressions, conditional aggregation, RFM analysis, Power Query data typing, Power BI cards, slicers, line charts, bar charts, treemaps, scatter charts, business interpretation and documentation.</w:t>
      </w:r>
    </w:p>
    <w:p>
      <w:pPr>
        <w:pStyle w:val="Heading1"/>
      </w:pPr>
      <w:r>
        <w:t>Ninety second interview explanation</w:t>
      </w:r>
    </w:p>
    <w:p>
      <w:r>
        <w:t>I built a retail sales and customer analytics project using the UCI Online Retail II dataset, which contains about 1.07 million invoice lines from December 2009 to December 2011. I loaded the data into MariaDB and kept the raw rows unchanged, including missing customer IDs and exact-repeat flags. I then created SQL views that separated merchandise from postage, fees, vouchers and adjustments, and treated valid cancellation lines as credits. The final reconciliation produced £20.11 million in gross sales, £0.73 million in credits and £19.38 million in net sales. I summarized the results by month, country and product, and created RFM segments for 5,852 identified customers. In Power BI I built four pages for sales trends, countries, products and customers. The strongest finding was that 487 Champion customers contributed about 55.9 percent of identified-customer net sales. I also documented the limitations: the dataset has no costs, many rows lack customer IDs, and December 2011 is only a partial month.</w:t>
      </w:r>
    </w:p>
    <w:p>
      <w:pPr>
        <w:pStyle w:val="Heading1"/>
      </w:pPr>
      <w:r>
        <w:t>Interview questions and answers</w:t>
      </w:r>
    </w:p>
    <w:p>
      <w:pPr>
        <w:keepNext/>
      </w:pPr>
      <w:r>
        <w:rPr>
          <w:b/>
        </w:rPr>
        <w:t>Why did you choose this dataset?</w:t>
      </w:r>
    </w:p>
    <w:p>
      <w:pPr>
        <w:spacing w:after="160"/>
      </w:pPr>
      <w:r>
        <w:t>It is large enough to demonstrate realistic SQL processing and contains common retail issues such as cancellations, missing customer IDs, operational charges and repeated rows. It also supports time, country, product and customer analysis in one project.</w:t>
      </w:r>
    </w:p>
    <w:p>
      <w:pPr>
        <w:keepNext/>
      </w:pPr>
      <w:r>
        <w:rPr>
          <w:b/>
        </w:rPr>
        <w:t>What was the grain of the raw data?</w:t>
      </w:r>
    </w:p>
    <w:p>
      <w:pPr>
        <w:spacing w:after="160"/>
      </w:pPr>
      <w:r>
        <w:t>One row represented one invoice line. An invoice could contain several product lines, so I used distinct invoice numbers when counting purchases.</w:t>
      </w:r>
    </w:p>
    <w:p>
      <w:pPr>
        <w:keepNext/>
      </w:pPr>
      <w:r>
        <w:rPr>
          <w:b/>
        </w:rPr>
        <w:t>How did you calculate net sales?</w:t>
      </w:r>
    </w:p>
    <w:p>
      <w:pPr>
        <w:spacing w:after="160"/>
      </w:pPr>
      <w:r>
        <w:t>For qualifying merchandise, positive quantity lines contributed to gross sales and negative cancellation lines contributed credits. Net sales equalled the signed sum, or gross sales minus credits.</w:t>
      </w:r>
    </w:p>
    <w:p>
      <w:pPr>
        <w:keepNext/>
      </w:pPr>
      <w:r>
        <w:rPr>
          <w:b/>
        </w:rPr>
        <w:t>Why did you exclude some stock codes?</w:t>
      </w:r>
    </w:p>
    <w:p>
      <w:pPr>
        <w:spacing w:after="160"/>
      </w:pPr>
      <w:r>
        <w:t>Codes such as postage, bank charges, manual adjustments, fees, vouchers, discounts, tests and samples were not merchandise. Excluding them kept the product KPIs focused on physical items.</w:t>
      </w:r>
    </w:p>
    <w:p>
      <w:pPr>
        <w:keepNext/>
      </w:pPr>
      <w:r>
        <w:rPr>
          <w:b/>
        </w:rPr>
        <w:t>Did you delete duplicate rows?</w:t>
      </w:r>
    </w:p>
    <w:p>
      <w:pPr>
        <w:spacing w:after="160"/>
      </w:pPr>
      <w:r>
        <w:t>No. I retained the source and used an exact-repeat flag for review. A repeated line can be a valid repeated transaction, and the dataset did not provide enough evidence to delete all flagged rows.</w:t>
      </w:r>
    </w:p>
    <w:p>
      <w:pPr>
        <w:keepNext/>
      </w:pPr>
      <w:r>
        <w:rPr>
          <w:b/>
        </w:rPr>
        <w:t>How did you handle missing customer IDs?</w:t>
      </w:r>
    </w:p>
    <w:p>
      <w:pPr>
        <w:spacing w:after="160"/>
      </w:pPr>
      <w:r>
        <w:t>Those rows remained in the sales totals but could not enter customer-level RFM because they did not identify a customer. I reported their coverage separately.</w:t>
      </w:r>
    </w:p>
    <w:p>
      <w:pPr>
        <w:keepNext/>
      </w:pPr>
      <w:r>
        <w:rPr>
          <w:b/>
        </w:rPr>
        <w:t>What is RFM analysis?</w:t>
      </w:r>
    </w:p>
    <w:p>
      <w:pPr>
        <w:spacing w:after="160"/>
      </w:pPr>
      <w:r>
        <w:t>RFM summarizes how recently a customer purchased, how frequently they purchased and how much net value they generated. I calculated each measure, assigned explicit scores from one to five and then mapped score combinations to named segments.</w:t>
      </w:r>
    </w:p>
    <w:p>
      <w:pPr>
        <w:keepNext/>
      </w:pPr>
      <w:r>
        <w:rPr>
          <w:b/>
        </w:rPr>
        <w:t>Why is the RFM reference date 10 December 2011?</w:t>
      </w:r>
    </w:p>
    <w:p>
      <w:pPr>
        <w:spacing w:after="160"/>
      </w:pPr>
      <w:r>
        <w:t>The last transaction in the dataset is on 9 December 2011, so the following day provides a consistent recency reference inside the historical observation window.</w:t>
      </w:r>
    </w:p>
    <w:p>
      <w:pPr>
        <w:keepNext/>
      </w:pPr>
      <w:r>
        <w:rPr>
          <w:b/>
        </w:rPr>
        <w:t>What was the most important finding?</w:t>
      </w:r>
    </w:p>
    <w:p>
      <w:pPr>
        <w:spacing w:after="160"/>
      </w:pPr>
      <w:r>
        <w:t>Champion customers were only 487 of 5,852 identified purchasers but generated about £9.34 million, or 55.9 percent of identified-customer net sales.</w:t>
      </w:r>
    </w:p>
    <w:p>
      <w:pPr>
        <w:keepNext/>
      </w:pPr>
      <w:r>
        <w:rPr>
          <w:b/>
        </w:rPr>
        <w:t>Why did you use a scatter chart for products?</w:t>
      </w:r>
    </w:p>
    <w:p>
      <w:pPr>
        <w:spacing w:after="160"/>
      </w:pPr>
      <w:r>
        <w:t>The bar chart ranks the top products by sales, while the scatter chart compares unit volume with sales value across all products. It helps distinguish high-volume low-value products from high-value products and highlights outliers.</w:t>
      </w:r>
    </w:p>
    <w:p>
      <w:pPr>
        <w:keepNext/>
      </w:pPr>
      <w:r>
        <w:rPr>
          <w:b/>
        </w:rPr>
        <w:t>Why are country and product pages not controlled by the month slicer?</w:t>
      </w:r>
    </w:p>
    <w:p>
      <w:pPr>
        <w:spacing w:after="160"/>
      </w:pPr>
      <w:r>
        <w:t>Those tables were imported as full-period aggregates at different grains. I kept them separate and did not claim the slicer was global. A future version could use a transaction-level star schema for shared date filtering.</w:t>
      </w:r>
    </w:p>
    <w:p>
      <w:pPr>
        <w:keepNext/>
      </w:pPr>
      <w:r>
        <w:rPr>
          <w:b/>
        </w:rPr>
        <w:t>Can this project calculate profit?</w:t>
      </w:r>
    </w:p>
    <w:p>
      <w:pPr>
        <w:spacing w:after="160"/>
      </w:pPr>
      <w:r>
        <w:t>No. The data includes selling price and quantity but no cost of goods, so profit and margin would be unsupported. I used sales and net sales terminology.</w:t>
      </w:r>
    </w:p>
    <w:p>
      <w:pPr>
        <w:keepNext/>
      </w:pPr>
      <w:r>
        <w:rPr>
          <w:b/>
        </w:rPr>
        <w:t>How did you validate the dashboard?</w:t>
      </w:r>
    </w:p>
    <w:p>
      <w:pPr>
        <w:spacing w:after="160"/>
      </w:pPr>
      <w:r>
        <w:t>I reconciled each exported table with SQL totals. The overall gross sales, credits and net sales matched the dashboard, the monthly table had 25 rows, the customer segments summed to 5,852 and the top product and country rankings matched the SQL queries.</w:t>
      </w:r>
    </w:p>
    <w:p>
      <w:pPr>
        <w:keepNext/>
      </w:pPr>
      <w:r>
        <w:rPr>
          <w:b/>
        </w:rPr>
        <w:t>What would you improve next?</w:t>
      </w:r>
    </w:p>
    <w:p>
      <w:pPr>
        <w:spacing w:after="160"/>
      </w:pPr>
      <w:r>
        <w:t>I would create a transaction-level Power BI star schema with shared date, customer, product and country dimensions, add cohort retention analysis, and calibrate RFM thresholds using business targets or distribution-based quantiles.</w:t>
      </w:r>
    </w:p>
    <w:p>
      <w:r>
        <w:br w:type="page"/>
      </w:r>
    </w:p>
    <w:p>
      <w:pPr>
        <w:pStyle w:val="Heading1"/>
      </w:pPr>
      <w:r>
        <w:t>Reproduction checklist</w:t>
      </w:r>
    </w:p>
    <w:p>
      <w:pPr>
        <w:pStyle w:val="ListNumber"/>
      </w:pPr>
      <w:r>
        <w:t>Load the prepared TSV into retail_analytics.retail_lines using the starter import script.</w:t>
      </w:r>
    </w:p>
    <w:p>
      <w:pPr>
        <w:pStyle w:val="ListNumber"/>
      </w:pPr>
      <w:r>
        <w:t>Run the source validation queries and confirm row counts and date range.</w:t>
      </w:r>
    </w:p>
    <w:p>
      <w:pPr>
        <w:pStyle w:val="ListNumber"/>
      </w:pPr>
      <w:r>
        <w:t>Run Retail_Analytics_Final_SQL.sql to create the analysis views.</w:t>
      </w:r>
    </w:p>
    <w:p>
      <w:pPr>
        <w:pStyle w:val="ListNumber"/>
      </w:pPr>
      <w:r>
        <w:t>Confirm gross sales, product credits and net sales reconcile to the expected values.</w:t>
      </w:r>
    </w:p>
    <w:p>
      <w:pPr>
        <w:pStyle w:val="ListNumber"/>
      </w:pPr>
      <w:r>
        <w:t>Export monthly_sales, country_sales, product_summary and customer_segment_summary to CSV.</w:t>
      </w:r>
    </w:p>
    <w:p>
      <w:pPr>
        <w:pStyle w:val="ListNumber"/>
      </w:pPr>
      <w:r>
        <w:t>Import the four CSV files into Power BI and apply the documented data types.</w:t>
      </w:r>
    </w:p>
    <w:p>
      <w:pPr>
        <w:pStyle w:val="ListNumber"/>
      </w:pPr>
      <w:r>
        <w:t>Build and verify the four report pages using the table and column mapping in this guide.</w:t>
      </w:r>
    </w:p>
    <w:p>
      <w:pPr>
        <w:pStyle w:val="ListNumber"/>
      </w:pPr>
      <w:r>
        <w:t>Keep December 2011 labelled as partial and avoid profit claims.</w:t>
      </w:r>
    </w:p>
    <w:p>
      <w:pPr>
        <w:pStyle w:val="ListNumber"/>
      </w:pPr>
      <w:r>
        <w:t>Save the PBIX, SQL script and project guide together as the portfolio package.</w:t>
      </w:r>
    </w:p>
    <w:p>
      <w:pPr>
        <w:pStyle w:val="Heading1"/>
      </w:pPr>
      <w:r>
        <w:t>Source and attribution</w:t>
      </w:r>
    </w:p>
    <w:p>
      <w:r>
        <w:t>Chen, D. (2012). Online Retail II. UCI Machine Learning Repository. https://doi.org/10.24432/C5CG6D</w:t>
      </w:r>
    </w:p>
    <w:p>
      <w:r>
        <w:t>Dataset page: https://archive.ics.uci.edu/dataset/502/online+retail+ii</w:t>
      </w:r>
    </w:p>
    <w:p>
      <w:r>
        <w:t>License: Creative Commons Attribution 4.0 International. https://creativecommons.org/licenses/by/4.0/</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