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Property Title Review: Historic Legal Charge</w:t>
      </w:r>
    </w:p>
    <w:p>
      <w:r>
        <w:rPr>
          <w:b/>
        </w:rPr>
        <w:t>Training example only. Entire matter and parties are fictional. Not a certificate of title, legal opinion or client advice.</w:t>
      </w:r>
    </w:p>
    <w:p>
      <w:pPr>
        <w:pStyle w:val="Heading2"/>
      </w:pPr>
      <w:r>
        <w:t>Matter summary</w:t>
      </w:r>
    </w:p>
    <w:p>
      <w:pPr>
        <w:pStyle w:val="ListBullet"/>
      </w:pPr>
      <w:r>
        <w:t>Matter: HISTORIC-CHARGE, fictional unregistered property in Test Town, England</w:t>
      </w:r>
    </w:p>
    <w:p>
      <w:pPr>
        <w:pStyle w:val="ListBullet"/>
      </w:pPr>
      <w:r>
        <w:t>Role: purchaser's conveyancer acting alongside the proposed mortgage lender</w:t>
      </w:r>
    </w:p>
    <w:p>
      <w:pPr>
        <w:pStyle w:val="ListBullet"/>
      </w:pPr>
      <w:r>
        <w:t>Documents claimed: sample epitome, copies of legal charge dated 8 August 1973, further charge dated 22 January 1976 and seller's email asserting both charges were 'vacated'</w:t>
      </w:r>
    </w:p>
    <w:p>
      <w:pPr>
        <w:pStyle w:val="ListBullet"/>
      </w:pPr>
      <w:r>
        <w:t xml:space="preserve">Evidence actually evaluated by the deterministic engine: structured facts supplied in `tests/fixtures/historic-charge.json`, </w:t>
      </w:r>
      <w:r>
        <w:rPr>
          <w:b/>
        </w:rPr>
        <w:t>not</w:t>
      </w:r>
      <w:r>
        <w:t xml:space="preserve"> authentic deeds or solicitor correspondence</w:t>
      </w:r>
    </w:p>
    <w:p>
      <w:pPr>
        <w:pStyle w:val="Heading2"/>
      </w:pPr>
      <w:r>
        <w:t>Established facts and gaps</w:t>
      </w:r>
    </w:p>
    <w:p>
      <w:r>
        <w:t xml:space="preserve">The training fixture says that the further charge dated 22 January 1976 was 'vacated', and attributes the statement to a fictional seller email. The legal effect, discharge instrument, any endorsement and beneficiary's authority are </w:t>
      </w:r>
      <w:r>
        <w:rPr>
          <w:b/>
        </w:rPr>
        <w:t>not established</w:t>
      </w:r>
      <w:r>
        <w:t xml:space="preserve"> by that statement. Evidence of title and discharge must be produced and checked in the applicable registered or unregistered land system before the purchaser or lender can rely upon the assertion.</w:t>
      </w:r>
    </w:p>
    <w:p>
      <w:pPr>
        <w:pStyle w:val="Heading2"/>
      </w:pPr>
      <w:r>
        <w:t>Risk and action register</w:t>
      </w:r>
    </w:p>
    <w:tbl>
      <w:tblPr>
        <w:tblStyle w:val="TableGrid"/>
        <w:tblW w:type="auto" w:w="0"/>
        <w:tblLook w:firstColumn="1" w:firstRow="1" w:lastColumn="0" w:lastRow="0" w:noHBand="0" w:noVBand="1" w:val="04A0"/>
      </w:tblPr>
      <w:tblGrid>
        <w:gridCol w:w="2880"/>
        <w:gridCol w:w="2880"/>
        <w:gridCol w:w="2880"/>
      </w:tblGrid>
      <w:tr>
        <w:trPr>
          <w:tblHeader w:val="true"/>
          <w:cantSplit/>
        </w:trPr>
        <w:tc>
          <w:tcPr>
            <w:tcW w:type="dxa" w:w="2880"/>
          </w:tcPr>
          <w:p>
            <w:r>
              <w:rPr>
                <w:b/>
              </w:rPr>
            </w:r>
            <w:r>
              <w:rPr>
                <w:b/>
              </w:rPr>
              <w:t>Issue</w:t>
            </w:r>
          </w:p>
        </w:tc>
        <w:tc>
          <w:tcPr>
            <w:tcW w:type="dxa" w:w="2880"/>
          </w:tcPr>
          <w:p>
            <w:r>
              <w:rPr>
                <w:b/>
              </w:rPr>
            </w:r>
            <w:r>
              <w:rPr>
                <w:b/>
              </w:rPr>
              <w:t>Evidence and risk</w:t>
            </w:r>
          </w:p>
        </w:tc>
        <w:tc>
          <w:tcPr>
            <w:tcW w:type="dxa" w:w="2880"/>
          </w:tcPr>
          <w:p>
            <w:r>
              <w:rPr>
                <w:b/>
              </w:rPr>
            </w:r>
            <w:r>
              <w:rPr>
                <w:b/>
              </w:rPr>
              <w:t>Next action</w:t>
            </w:r>
          </w:p>
        </w:tc>
      </w:tr>
      <w:tr>
        <w:trPr>
          <w:cantSplit/>
        </w:trPr>
        <w:tc>
          <w:tcPr>
            <w:tcW w:type="dxa" w:w="2880"/>
          </w:tcPr>
          <w:p>
            <w:r/>
            <w:r>
              <w:t>1976 further charge</w:t>
            </w:r>
          </w:p>
        </w:tc>
        <w:tc>
          <w:tcPr>
            <w:tcW w:type="dxa" w:w="2880"/>
          </w:tcPr>
          <w:p>
            <w:r/>
            <w:r>
              <w:t>Seller email only, R2/R3/R4</w:t>
            </w:r>
          </w:p>
        </w:tc>
        <w:tc>
          <w:tcPr>
            <w:tcW w:type="dxa" w:w="2880"/>
          </w:tcPr>
          <w:p>
            <w:r/>
            <w:r>
              <w:t>Obtain proper discharge; consider lender report and registration consequences.</w:t>
            </w:r>
          </w:p>
        </w:tc>
      </w:tr>
      <w:tr>
        <w:trPr>
          <w:cantSplit/>
        </w:trPr>
        <w:tc>
          <w:tcPr>
            <w:tcW w:type="dxa" w:w="2880"/>
          </w:tcPr>
          <w:p>
            <w:r/>
            <w:r>
              <w:t>1973 legal charge</w:t>
            </w:r>
          </w:p>
        </w:tc>
        <w:tc>
          <w:tcPr>
            <w:tcW w:type="dxa" w:w="2880"/>
          </w:tcPr>
          <w:p>
            <w:r/>
            <w:r>
              <w:t>No instrument, R1/R2</w:t>
            </w:r>
          </w:p>
        </w:tc>
        <w:tc>
          <w:tcPr>
            <w:tcW w:type="dxa" w:w="2880"/>
          </w:tcPr>
          <w:p>
            <w:r/>
            <w:r>
              <w:t>Request full deed, scope and effective release.</w:t>
            </w:r>
          </w:p>
        </w:tc>
      </w:tr>
      <w:tr>
        <w:trPr>
          <w:cantSplit/>
        </w:trPr>
        <w:tc>
          <w:tcPr>
            <w:tcW w:type="dxa" w:w="2880"/>
          </w:tcPr>
          <w:p>
            <w:r/>
            <w:r>
              <w:t>First registration</w:t>
            </w:r>
          </w:p>
        </w:tc>
        <w:tc>
          <w:tcPr>
            <w:tcW w:type="dxa" w:w="2880"/>
          </w:tcPr>
          <w:p>
            <w:r/>
            <w:r>
              <w:t>Unregistered status not yet proved, R1</w:t>
            </w:r>
          </w:p>
        </w:tc>
        <w:tc>
          <w:tcPr>
            <w:tcW w:type="dxa" w:w="2880"/>
          </w:tcPr>
          <w:p>
            <w:r/>
            <w:r>
              <w:t>Verify index map, root, epitome and Land Charges search.</w:t>
            </w:r>
          </w:p>
        </w:tc>
      </w:tr>
    </w:tbl>
    <w:p>
      <w:pPr>
        <w:pStyle w:val="Heading2"/>
      </w:pPr>
      <w:r>
        <w:t>Proposed enquiry to seller's solicitors</w:t>
      </w:r>
    </w:p>
    <w:p>
      <w:r>
        <w:t>Please provide the executed release or discharge of the legal charge dated 8 August 1973 and further charge dated 22 January 1976. Please identify each charging party, mortgagee, affected land, discharge date and any endorsement. Confirm with documentary evidence whether the full security, including further advances, was released and how the charges will be addressed on registration. Until then, the charges cannot be treated as proven discharged.</w:t>
      </w:r>
    </w:p>
    <w:p>
      <w:pPr>
        <w:pStyle w:val="Heading2"/>
      </w:pPr>
      <w:r>
        <w:t>Completion recommendation</w:t>
      </w:r>
    </w:p>
    <w:p>
      <w:r>
        <w:rPr>
          <w:b/>
        </w:rPr>
        <w:t>COMPLETION BLOCKED pending legal evidence and mortgage-lender review.</w:t>
      </w:r>
      <w:r>
        <w:t xml:space="preserve"> This is the output for the fictional assumptions, not a conclusion on any real property. Do not certify title or send funds. An indemnity policy proposal cannot substitute for verifying the actual charge or obtaining any lender consent without specialist review.</w:t>
      </w:r>
    </w:p>
    <w:p>
      <w:pPr>
        <w:pStyle w:val="Heading2"/>
      </w:pPr>
      <w:r>
        <w:t>Legal research pointers</w:t>
      </w:r>
    </w:p>
    <w:p>
      <w:pPr>
        <w:pStyle w:val="ListBullet"/>
      </w:pPr>
      <w:hyperlink r:id="rId9">
        <w:r>
          <w:rPr>
            <w:rStyle w:val="Hyperlink"/>
          </w:rPr>
          <w:t>HMLR Practice Guide 1: first registrations</w:t>
        </w:r>
      </w:hyperlink>
    </w:p>
    <w:p>
      <w:pPr>
        <w:pStyle w:val="ListBullet"/>
      </w:pPr>
      <w:hyperlink r:id="rId10">
        <w:r>
          <w:rPr>
            <w:rStyle w:val="Hyperlink"/>
          </w:rPr>
          <w:t>HMLR Practice Guide 2: deeds lost or destroyed</w:t>
        </w:r>
      </w:hyperlink>
    </w:p>
    <w:p>
      <w:pPr>
        <w:pStyle w:val="ListBullet"/>
      </w:pPr>
      <w:hyperlink r:id="rId11">
        <w:r>
          <w:rPr>
            <w:rStyle w:val="Hyperlink"/>
          </w:rPr>
          <w:t>HMLR Practice Guide 31: discharge of charges</w:t>
        </w:r>
      </w:hyperlink>
    </w:p>
    <w:p>
      <w:pPr>
        <w:pStyle w:val="ListBullet"/>
      </w:pPr>
      <w:hyperlink r:id="rId12">
        <w:r>
          <w:rPr>
            <w:rStyle w:val="Hyperlink"/>
          </w:rPr>
          <w:t>HMLR Practice Guide 63: Land Charges searches</w:t>
        </w:r>
      </w:hyperlink>
    </w:p>
    <w:p>
      <w:r>
        <w:rPr>
          <w:b/>
        </w:rPr>
        <w:t>Baseline research:</w:t>
      </w:r>
      <w:r>
        <w:t xml:space="preserve"> 27 October 2026. Verify law, amendments, filing practice and actual instrument at point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v.uk/government/publications/first-registrations/practice-guide-1-first-registrations" TargetMode="External"/><Relationship Id="rId10" Type="http://schemas.openxmlformats.org/officeDocument/2006/relationships/hyperlink" Target="https://www.gov.uk/government/publications/first-registration-of-title-where-deeds-have-been-lost-or-destroyed/practice-guide-2-first-registration-of-title-if-deeds-are-lost-or-destroyed" TargetMode="External"/><Relationship Id="rId11" Type="http://schemas.openxmlformats.org/officeDocument/2006/relationships/hyperlink" Target="https://www.gov.uk/government/publications/discharge-of-charges-pg31/practice-guide-31-discharges-of-charges" TargetMode="External"/><Relationship Id="rId12" Type="http://schemas.openxmlformats.org/officeDocument/2006/relationships/hyperlink" Target="https://www.gov.uk/government/publications/the-land-charges-registers-and-agricultural-credits-register-registration-official-search-office-copy-and-cancellation-pg63/practice-guide-63-land-charges-applications-for-registration-official-search-office-copy-and-cance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Title Review: Historic Legal Charge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