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Thomas Wilkinson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326 Parkway St. Philadelphia, PA 15005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65278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0830" y="3780000"/>
                          <a:ext cx="6530340" cy="0"/>
                        </a:xfrm>
                        <a:prstGeom prst="straightConnector1">
                          <a:avLst/>
                        </a:prstGeom>
                        <a:noFill/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65278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ind w:left="2307" w:firstLine="0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Consulting Company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, Philadelphia, PA, Apr 2015 -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Management Consultant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8"/>
          <w:tab w:val="left" w:leader="none" w:pos="1949"/>
        </w:tabs>
        <w:spacing w:after="0" w:before="0" w:line="240" w:lineRule="auto"/>
        <w:ind w:left="720" w:right="17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Partner with Wharton faculty to provide strategy solutions for Fortune 1000 companies in financial, IT, healthcare, and construction sectors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8"/>
          <w:tab w:val="left" w:leader="none" w:pos="1949"/>
        </w:tabs>
        <w:spacing w:after="0" w:before="0" w:line="240" w:lineRule="auto"/>
        <w:ind w:left="720" w:right="81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client interactions, including attending planning meetings, writing strategy memos, and presenting recommendations to senior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8"/>
          <w:tab w:val="left" w:leader="none" w:pos="1949"/>
        </w:tabs>
        <w:spacing w:after="0" w:before="0" w:line="240" w:lineRule="auto"/>
        <w:ind w:left="720" w:right="424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team of 20, facilitated workshop to create first corporate strategy for a construction company with over $1 billion in revenue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Wharton Executive Education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Philadelphia, PA, Jun 2014 - Mar 2015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Accelerator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8"/>
          <w:tab w:val="left" w:leader="none" w:pos="1949"/>
        </w:tabs>
        <w:spacing w:after="0" w:before="0" w:line="240" w:lineRule="auto"/>
        <w:ind w:left="720" w:right="479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10 facilitators who coach senior executives to improve their overall teamwork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8"/>
          <w:tab w:val="left" w:leader="none" w:pos="1949"/>
        </w:tabs>
        <w:spacing w:after="0" w:before="0" w:line="240" w:lineRule="auto"/>
        <w:ind w:left="720" w:right="654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observational framework to collect data on group effectiveness in business simulations, creating substantial efficiencies in analysis process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8"/>
          <w:tab w:val="left" w:leader="none" w:pos="194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client evaluation scores of teamwork training by 20%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Resources Institute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Washington, DC, Feb 2012 - May 2014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Analyst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8"/>
          <w:tab w:val="left" w:leader="none" w:pos="1909"/>
        </w:tabs>
        <w:spacing w:after="0" w:before="0" w:line="240" w:lineRule="auto"/>
        <w:ind w:left="720" w:right="573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Oversaw communication strategy for media and potential funders, helping to attract investment of over $120 million for 170 green businesses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8"/>
          <w:tab w:val="left" w:leader="none" w:pos="190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survey data for first ever assessment of global “Base of the Pyramid” markets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8"/>
          <w:tab w:val="left" w:leader="none" w:pos="190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$1.2 million project budget and oversaw funding allocations for global affiliates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SKILLS AND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54" w:line="240" w:lineRule="auto"/>
        <w:ind w:left="107" w:right="624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  <w:tab/>
        <w:t xml:space="preserve">MS-Office, Lexis-Nexis, EBSCOhost, ProQuest, Drupal CMS, Raiser’s Edge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0" w:line="240" w:lineRule="auto"/>
        <w:ind w:left="1548" w:right="313" w:hanging="1441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  <w:tab/>
        <w:t xml:space="preserve">English (native speaker), Portuguese (professional fluency), Spanish (advanced proficiency), French (reading proficiency)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0" w:line="240" w:lineRule="auto"/>
        <w:ind w:left="1548" w:right="596" w:hanging="1441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Activities</w:t>
        <w:tab/>
        <w:t xml:space="preserve">Nominated to 2014 Committee on Practicing and Applied Anthropology of the American Anthropological Association, Member of the Brazilian Studies Association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0" w:line="240" w:lineRule="auto"/>
        <w:ind w:left="0" w:right="284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8"/>
        </w:tabs>
        <w:spacing w:after="0" w:before="0" w:line="240" w:lineRule="auto"/>
        <w:ind w:left="1548" w:right="284" w:hanging="1441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588"/>
        </w:tabs>
        <w:ind w:right="2491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George Washington University, Washington, DC, 2008-2012</w:t>
      </w:r>
    </w:p>
    <w:p w:rsidR="00000000" w:rsidDel="00000000" w:rsidP="00000000" w:rsidRDefault="00000000" w:rsidRPr="00000000" w14:paraId="00000025">
      <w:pPr>
        <w:pageBreakBefore w:val="0"/>
        <w:ind w:left="720"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B.A. in International Affairs, May 2012, GPA: 3.92 (Summa Cum Laude)</w:t>
      </w:r>
    </w:p>
    <w:sectPr>
      <w:pgSz w:h="15840" w:w="12240" w:orient="portrait"/>
      <w:pgMar w:bottom="280" w:top="1260" w:left="900" w:right="9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7" w:right="2491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7" w:right="4676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