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right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Jim Holloway | Financier</w:t>
      </w:r>
    </w:p>
    <w:p w:rsidR="00000000" w:rsidDel="00000000" w:rsidP="00000000" w:rsidRDefault="00000000" w:rsidRPr="00000000" w14:paraId="0000000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 Box 17, Collegeville, PA 19426</w:t>
        <w:br w:type="textWrapping"/>
        <w:t xml:space="preserve">(345) 222-1212, jim@alumni.upenn.edu</w:t>
      </w:r>
    </w:p>
    <w:p w:rsidR="00000000" w:rsidDel="00000000" w:rsidP="00000000" w:rsidRDefault="00000000" w:rsidRPr="00000000" w14:paraId="00000003">
      <w:pPr>
        <w:pageBreakBefore w:val="0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EnerTech Capital Partners, Analyst, Jan 2015 - Present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extensive due diligence on 70 investment opportunities, and presented analysis to partners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new portfolio management tools utilized to determine reserve levels, exit strategies, and valuation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Actively developing relationships in Private Equity, Entrepreneurial, and Investment Banking communities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Sourced second largest number of deals of any investment professional during current tenure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expertise in several industry sub-sectors, including advanced battery, power line communications, fuel cells, and central generation emissions</w:t>
      </w:r>
    </w:p>
    <w:p w:rsidR="00000000" w:rsidDel="00000000" w:rsidP="00000000" w:rsidRDefault="00000000" w:rsidRPr="00000000" w14:paraId="00000009">
      <w:pPr>
        <w:pageBreakBefore w:val="0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Deutsche Bank Securities, Analyst – Mergers and Acquisitions, Mar 2013 - Dec 2014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 transaction modeling experience; actively involved in hundreds of sell-side and buy-side pitches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focus in Technology, Energy, and Industrials sectors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Profiled 500+ companies and industries for strategic targeting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performance and market analysis</w:t>
      </w:r>
    </w:p>
    <w:p w:rsidR="00000000" w:rsidDel="00000000" w:rsidP="00000000" w:rsidRDefault="00000000" w:rsidRPr="00000000" w14:paraId="0000000E">
      <w:pPr>
        <w:pageBreakBefore w:val="0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GMAC Commercial Mortgage, Market Risk Management Assistant, Apr 2011 - Feb 2013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analysis on fixed income instruments for hedging risk on commercial loans held for securitization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 Value at Risk analysis, various pricing models, and shadowed trade calls</w:t>
      </w:r>
    </w:p>
    <w:p w:rsidR="00000000" w:rsidDel="00000000" w:rsidP="00000000" w:rsidRDefault="00000000" w:rsidRPr="00000000" w14:paraId="00000011">
      <w:pPr>
        <w:pageBreakBefore w:val="0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Cablematrix Technologies, Manager of Development, Jan 2010 - Mar 2011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liquidation cascade analysis to examine return profile in various exit scenarios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multiple transaction and trading comparables valuation models to capture different potential growth paths</w:t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EDUCATION: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University of Pennsylvania, Philadelphia, PA</w:t>
        <w:br w:type="textWrapping"/>
        <w:t xml:space="preserve">Wharton School, Summa Cum Laude, Bachelor of Science in Economics; Finance Concentration</w:t>
        <w:br w:type="textWrapping"/>
        <w:t xml:space="preserve">College of Arts and Sciences, Summa Cum Laude, Bachelor of Arts in Classical Studies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