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28" w:lineRule="auto"/>
        <w:ind w:left="4149" w:right="404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Jane Campaign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410"/>
        </w:tabs>
        <w:spacing w:before="179" w:line="231" w:lineRule="auto"/>
        <w:ind w:left="2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S. 12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th </w:t>
      </w:r>
      <w:r w:rsidDel="00000000" w:rsidR="00000000" w:rsidRPr="00000000">
        <w:rPr>
          <w:sz w:val="24"/>
          <w:szCs w:val="24"/>
          <w:rtl w:val="0"/>
        </w:rPr>
        <w:t xml:space="preserve">St., Apt 5D | Philadelphia, PA 19993</w:t>
        <w:br w:type="textWrapping"/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student@sas.upenn.edu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410"/>
        </w:tabs>
        <w:spacing w:line="207" w:lineRule="auto"/>
        <w:ind w:left="2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(732) 333-3333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Marketing 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8029"/>
        </w:tabs>
        <w:ind w:left="391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L’OREAL – MARKETING</w:t>
        <w:br w:type="textWrapping"/>
        <w:t xml:space="preserve">Brand Management Associate</w:t>
        <w:br w:type="textWrapping"/>
        <w:t xml:space="preserve">Mar 2015 - Jan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2"/>
        </w:tabs>
        <w:spacing w:after="0" w:before="0" w:line="240" w:lineRule="auto"/>
        <w:ind w:left="931" w:right="156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presented hair color market analysis and recommendations to 10 teams within Garnier, including HR and upper management of Maybelline-Garnier division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2"/>
        </w:tabs>
        <w:spacing w:after="0" w:before="0" w:line="240" w:lineRule="auto"/>
        <w:ind w:left="931" w:right="156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social media for five different product pages, and increased followers 18%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8029"/>
        </w:tabs>
        <w:ind w:left="391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GOOGLE ADWORDS</w:t>
        <w:br w:type="textWrapping"/>
        <w:t xml:space="preserve">Advertising Sales Assistant</w:t>
        <w:br w:type="textWrapping"/>
        <w:t xml:space="preserve">Jan 2013 - Feb 2015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</w:tabs>
        <w:spacing w:after="0" w:before="0" w:line="242.99999999999997" w:lineRule="auto"/>
        <w:ind w:left="934" w:right="0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Gained direct sales experience through extensive training and client interaction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</w:tabs>
        <w:spacing w:after="0" w:before="11" w:line="245" w:lineRule="auto"/>
        <w:ind w:left="934" w:right="0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30 sector-specific web-seminars, and prospected list of potential customers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2"/>
        </w:tabs>
        <w:spacing w:after="0" w:before="15" w:line="228" w:lineRule="auto"/>
        <w:ind w:left="931" w:right="98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and edited presentation/sales pitch to be given during webinars, and provided live-customer support during webinars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8029"/>
        </w:tabs>
        <w:ind w:left="391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PFIZER - PARTNERSHIPS &amp; ACCESS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8029"/>
        </w:tabs>
        <w:ind w:left="391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Global Marketing Manager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8029"/>
        </w:tabs>
        <w:ind w:left="391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Apr 2011 - Dec 2012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2"/>
        </w:tabs>
        <w:spacing w:after="0" w:before="0" w:line="240" w:lineRule="auto"/>
        <w:ind w:left="931" w:right="215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comprehensive market research and analysis of most recent data on health care systems and markets of 12 EU nations &amp; Canada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</w:tabs>
        <w:spacing w:after="0" w:before="0" w:line="241" w:lineRule="auto"/>
        <w:ind w:left="934" w:right="0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4-Year Strategic Marketing Plans for all EuCAN countries within Pfizer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932"/>
        </w:tabs>
        <w:spacing w:before="2" w:lineRule="auto"/>
        <w:ind w:right="69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8029"/>
        </w:tabs>
        <w:ind w:left="391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JOHNSON &amp; JOHNSON</w:t>
        <w:br w:type="textWrapping"/>
        <w:t xml:space="preserve">Marketing Associate</w:t>
        <w:br w:type="textWrapping"/>
        <w:t xml:space="preserve">Jun 2010 - Mar 2011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</w:tabs>
        <w:spacing w:after="0" w:before="0" w:line="241" w:lineRule="auto"/>
        <w:ind w:left="934" w:right="0" w:hanging="26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Summarized each region’s plans and recommendations for change within the areas of Access &amp; Partnerships, Marketing &amp; Operating Environment, Strategic Initiatives, Challenges &amp; Opportunities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</w:tabs>
        <w:spacing w:after="0" w:before="0" w:line="240" w:lineRule="auto"/>
        <w:ind w:left="948" w:right="678" w:hanging="28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Compiled and summarized media coverage and negative media portrayal of pharmaceutical industry from all EuCAN countries</w:t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932"/>
        </w:tabs>
        <w:spacing w:before="2" w:lineRule="auto"/>
        <w:ind w:right="69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ind w:left="0" w:firstLine="0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29"/>
        </w:tabs>
        <w:spacing w:after="0" w:before="0" w:line="240" w:lineRule="auto"/>
        <w:ind w:left="39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PENNSYLVANIA, 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</w:tabs>
        <w:spacing w:after="0" w:before="3" w:line="242.99999999999997" w:lineRule="auto"/>
        <w:ind w:left="931" w:right="0" w:hanging="2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Arts in English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2"/>
        </w:tabs>
        <w:spacing w:after="0" w:before="0" w:line="242.99999999999997" w:lineRule="auto"/>
        <w:ind w:left="931" w:right="0" w:hanging="265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Minors: International Relations, Economics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93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040" w:left="900" w:right="7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31" w:hanging="269.0000000000001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188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•"/>
      <w:lvlJc w:val="left"/>
      <w:pPr>
        <w:ind w:left="2231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282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333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384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435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7486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8537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11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" w:line="240" w:lineRule="auto"/>
      <w:ind w:left="391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udent@sas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