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NutriSphere 3D</w:t>
      </w:r>
    </w:p>
    <w:p>
      <w:pPr>
        <w:pStyle w:val="Subtitle"/>
      </w:pPr>
      <w:r>
        <w:t>Medical Report Intelligence &amp; Interactive Anatomy</w:t>
      </w:r>
    </w:p>
    <w:p>
      <w:pPr>
        <w:pStyle w:val="Subtitle"/>
      </w:pPr>
      <w:r>
        <w:t>Transformed Vibe-Coding Capstone Assignment | Product Management II</w:t>
      </w:r>
    </w:p>
    <w:p>
      <w:pPr>
        <w:pStyle w:val="Heading1"/>
      </w:pPr>
      <w:r>
        <w:t>1. Overview</w:t>
      </w:r>
    </w:p>
    <w:p>
      <w:r>
        <w:t>Build a genuinely working 3D medical-report explanation web platform with a real browser frontend, FastAPI backend, SQLite demonstration database, file ingestion pipeline and tested REST APIs. The focus is broad medical test coverage and reliable explanations, not generating a diagnosis or claiming a safe alcohol allowance.</w:t>
      </w:r>
    </w:p>
    <w:p>
      <w:pPr>
        <w:pStyle w:val="Heading1"/>
      </w:pPr>
      <w:r>
        <w:t>2. What the user can do</w:t>
      </w:r>
    </w:p>
    <w:p>
      <w:pPr>
        <w:pStyle w:val="ListBullet"/>
      </w:pPr>
      <w:r>
        <w:t>Upload and explicitly consent to processing a medical PDF, JPG or PNG.</w:t>
      </w:r>
    </w:p>
    <w:p>
      <w:pPr>
        <w:pStyle w:val="ListBullet"/>
      </w:pPr>
      <w:r>
        <w:t>Review extracted results before saving, including OCR confidence and source pages.</w:t>
      </w:r>
    </w:p>
    <w:p>
      <w:pPr>
        <w:pStyle w:val="ListBullet"/>
      </w:pPr>
      <w:r>
        <w:t>Understand every recognized measurement, units, lab-specific reference intervals and limitations.</w:t>
      </w:r>
    </w:p>
    <w:p>
      <w:pPr>
        <w:pStyle w:val="ListBullet"/>
      </w:pPr>
      <w:r>
        <w:t>See elevated, reduced or unknown findings and compare compatible historic readings.</w:t>
      </w:r>
    </w:p>
    <w:p>
      <w:pPr>
        <w:pStyle w:val="ListBullet"/>
      </w:pPr>
      <w:r>
        <w:t>Interact with rotatable 3D organs linked to relevant markers, with a 2D fallback.</w:t>
      </w:r>
    </w:p>
    <w:p>
      <w:pPr>
        <w:pStyle w:val="ListBullet"/>
      </w:pPr>
      <w:r>
        <w:t>Receive personalized food-based, allergy-aware general nutrition guidance.</w:t>
      </w:r>
    </w:p>
    <w:p>
      <w:pPr>
        <w:pStyle w:val="ListBullet"/>
      </w:pPr>
      <w:r>
        <w:t>Read alcohol-related health-risk guidance without a medically unsupported personal safe limit.</w:t>
      </w:r>
    </w:p>
    <w:p>
      <w:pPr>
        <w:pStyle w:val="ListBullet"/>
      </w:pPr>
      <w:r>
        <w:t>Export their own educational summary and delete reports/data.</w:t>
      </w:r>
    </w:p>
    <w:p>
      <w:pPr>
        <w:pStyle w:val="Heading1"/>
      </w:pPr>
      <w:r>
        <w:t>3. Breadth of tests</w:t>
      </w:r>
    </w:p>
    <w:tbl>
      <w:tblPr>
        <w:tblStyle w:val="LightShading-Accent1"/>
        <w:tblW w:type="auto" w:w="0"/>
        <w:tblLook w:firstColumn="1" w:firstRow="1" w:lastColumn="0" w:lastRow="0" w:noHBand="0" w:noVBand="1" w:val="04A0"/>
      </w:tblPr>
      <w:tblGrid>
        <w:gridCol w:w="4320"/>
        <w:gridCol w:w="4320"/>
      </w:tblGrid>
      <w:tr>
        <w:tc>
          <w:tcPr>
            <w:tcW w:type="dxa" w:w="4320"/>
          </w:tcPr>
          <w:p>
            <w:r>
              <w:t>Group</w:t>
            </w:r>
          </w:p>
        </w:tc>
        <w:tc>
          <w:tcPr>
            <w:tcW w:type="dxa" w:w="4320"/>
          </w:tcPr>
          <w:p>
            <w:r>
              <w:t>Example coverage</w:t>
            </w:r>
          </w:p>
        </w:tc>
      </w:tr>
      <w:tr>
        <w:tc>
          <w:tcPr>
            <w:tcW w:type="dxa" w:w="4320"/>
          </w:tcPr>
          <w:p>
            <w:r>
              <w:t>CBC</w:t>
            </w:r>
          </w:p>
        </w:tc>
        <w:tc>
          <w:tcPr>
            <w:tcW w:type="dxa" w:w="4320"/>
          </w:tcPr>
          <w:p>
            <w:r>
              <w:t>Hemoglobin, WBC/RBC, platelet, differential, red-cell indices</w:t>
            </w:r>
          </w:p>
        </w:tc>
      </w:tr>
      <w:tr>
        <w:tc>
          <w:tcPr>
            <w:tcW w:type="dxa" w:w="4320"/>
          </w:tcPr>
          <w:p>
            <w:r>
              <w:t>Liver</w:t>
            </w:r>
          </w:p>
        </w:tc>
        <w:tc>
          <w:tcPr>
            <w:tcW w:type="dxa" w:w="4320"/>
          </w:tcPr>
          <w:p>
            <w:r>
              <w:t>ALT, AST, ALP, bilirubin, albumin, GGT</w:t>
            </w:r>
          </w:p>
        </w:tc>
      </w:tr>
      <w:tr>
        <w:tc>
          <w:tcPr>
            <w:tcW w:type="dxa" w:w="4320"/>
          </w:tcPr>
          <w:p>
            <w:r>
              <w:t>Kidney &amp; metabolic</w:t>
            </w:r>
          </w:p>
        </w:tc>
        <w:tc>
          <w:tcPr>
            <w:tcW w:type="dxa" w:w="4320"/>
          </w:tcPr>
          <w:p>
            <w:r>
              <w:t>Creatinine, urea/BUN, eGFR, sodium, potassium, bicarbonate</w:t>
            </w:r>
          </w:p>
        </w:tc>
      </w:tr>
      <w:tr>
        <w:tc>
          <w:tcPr>
            <w:tcW w:type="dxa" w:w="4320"/>
          </w:tcPr>
          <w:p>
            <w:r>
              <w:t>Diabetes</w:t>
            </w:r>
          </w:p>
        </w:tc>
        <w:tc>
          <w:tcPr>
            <w:tcW w:type="dxa" w:w="4320"/>
          </w:tcPr>
          <w:p>
            <w:r>
              <w:t>Fasting/random glucose, HbA1c, OGTT when clearly reported</w:t>
            </w:r>
          </w:p>
        </w:tc>
      </w:tr>
      <w:tr>
        <w:tc>
          <w:tcPr>
            <w:tcW w:type="dxa" w:w="4320"/>
          </w:tcPr>
          <w:p>
            <w:r>
              <w:t>Cardiovascular</w:t>
            </w:r>
          </w:p>
        </w:tc>
        <w:tc>
          <w:tcPr>
            <w:tcW w:type="dxa" w:w="4320"/>
          </w:tcPr>
          <w:p>
            <w:r>
              <w:t>Total cholesterol, LDL, HDL, triglycerides; troponin/BNP where reported</w:t>
            </w:r>
          </w:p>
        </w:tc>
      </w:tr>
      <w:tr>
        <w:tc>
          <w:tcPr>
            <w:tcW w:type="dxa" w:w="4320"/>
          </w:tcPr>
          <w:p>
            <w:r>
              <w:t>Endocrine</w:t>
            </w:r>
          </w:p>
        </w:tc>
        <w:tc>
          <w:tcPr>
            <w:tcW w:type="dxa" w:w="4320"/>
          </w:tcPr>
          <w:p>
            <w:r>
              <w:t>TSH, free T4/T3, reproductive hormones, prolactin, cortisol</w:t>
            </w:r>
          </w:p>
        </w:tc>
      </w:tr>
      <w:tr>
        <w:tc>
          <w:tcPr>
            <w:tcW w:type="dxa" w:w="4320"/>
          </w:tcPr>
          <w:p>
            <w:r>
              <w:t>Nutrition</w:t>
            </w:r>
          </w:p>
        </w:tc>
        <w:tc>
          <w:tcPr>
            <w:tcW w:type="dxa" w:w="4320"/>
          </w:tcPr>
          <w:p>
            <w:r>
              <w:t>Vitamin D, B12, ferritin, serum iron, folate, calcium, magnesium</w:t>
            </w:r>
          </w:p>
        </w:tc>
      </w:tr>
      <w:tr>
        <w:tc>
          <w:tcPr>
            <w:tcW w:type="dxa" w:w="4320"/>
          </w:tcPr>
          <w:p>
            <w:r>
              <w:t>Inflammation/immune</w:t>
            </w:r>
          </w:p>
        </w:tc>
        <w:tc>
          <w:tcPr>
            <w:tcW w:type="dxa" w:w="4320"/>
          </w:tcPr>
          <w:p>
            <w:r>
              <w:t>CRP, ESR, ANA and selected serology</w:t>
            </w:r>
          </w:p>
        </w:tc>
      </w:tr>
      <w:tr>
        <w:tc>
          <w:tcPr>
            <w:tcW w:type="dxa" w:w="4320"/>
          </w:tcPr>
          <w:p>
            <w:r>
              <w:t>Urine/coagulation</w:t>
            </w:r>
          </w:p>
        </w:tc>
        <w:tc>
          <w:tcPr>
            <w:tcW w:type="dxa" w:w="4320"/>
          </w:tcPr>
          <w:p>
            <w:r>
              <w:t>Urinalysis, urine albumin, PT/INR, aPTT</w:t>
            </w:r>
          </w:p>
        </w:tc>
      </w:tr>
      <w:tr>
        <w:tc>
          <w:tcPr>
            <w:tcW w:type="dxa" w:w="4320"/>
          </w:tcPr>
          <w:p>
            <w:r>
              <w:t>Other report text</w:t>
            </w:r>
          </w:p>
        </w:tc>
        <w:tc>
          <w:tcPr>
            <w:tcW w:type="dxa" w:w="4320"/>
          </w:tcPr>
          <w:p>
            <w:r>
              <w:t>Microbiology and radiology/ECG written conclusions, with explicit limits</w:t>
            </w:r>
          </w:p>
        </w:tc>
      </w:tr>
    </w:tbl>
    <w:p>
      <w:r>
        <w:t>This is an extensible catalog, not a guarantee that any input or every specialty test can be interpreted. Raw imaging, ECG signals and slides require specialist validated systems.</w:t>
      </w:r>
    </w:p>
    <w:p>
      <w:pPr>
        <w:pStyle w:val="Heading1"/>
      </w:pPr>
      <w:r>
        <w:t>4. Three-layer architecture</w:t>
      </w:r>
    </w:p>
    <w:p>
      <w:r>
        <w:t>Client: HTML + Tailwind CSS + JavaScript + Three.js 3D rendering. Server: Python FastAPI validation, parsing, cautious explanation and nutrition logic. Data: SQLite for local demos with synthetic examples. Testing: Postman and pytest. FastAPI serves both static pages and APIs.</w:t>
      </w:r>
    </w:p>
    <w:p>
      <w:pPr>
        <w:pStyle w:val="Heading1"/>
      </w:pPr>
      <w:r>
        <w:t>5. Core pages</w:t>
      </w:r>
    </w:p>
    <w:p>
      <w:pPr>
        <w:pStyle w:val="ListNumber"/>
      </w:pPr>
      <w:r>
        <w:t>Landing &amp; consent — 3D human model, disclosure and report-upload entry.</w:t>
      </w:r>
    </w:p>
    <w:p>
      <w:pPr>
        <w:pStyle w:val="ListNumber"/>
      </w:pPr>
      <w:r>
        <w:t>Upload &amp; verify — drag/drop, progress, OCR uncertainty, editable values.</w:t>
      </w:r>
    </w:p>
    <w:p>
      <w:pPr>
        <w:pStyle w:val="ListNumber"/>
      </w:pPr>
      <w:r>
        <w:t>Results — marker-level explanations, source snippets, filtering and organ viewer.</w:t>
      </w:r>
    </w:p>
    <w:p>
      <w:pPr>
        <w:pStyle w:val="ListNumber"/>
      </w:pPr>
      <w:r>
        <w:t>Trends &amp; guidance — charts, general nutrition and alcohol-risk education.</w:t>
      </w:r>
    </w:p>
    <w:p>
      <w:pPr>
        <w:pStyle w:val="Heading1"/>
      </w:pPr>
      <w:r>
        <w:t>6. API contract</w:t>
      </w:r>
    </w:p>
    <w:p>
      <w:pPr>
        <w:pStyle w:val="ListBullet"/>
      </w:pPr>
      <w:r>
        <w:t>POST /api/reports — ingest permitted report; 201/400/413/415.</w:t>
      </w:r>
    </w:p>
    <w:p>
      <w:pPr>
        <w:pStyle w:val="ListBullet"/>
      </w:pPr>
      <w:r>
        <w:t>GET /api/reports — list current user’s uploads; 200.</w:t>
      </w:r>
    </w:p>
    <w:p>
      <w:pPr>
        <w:pStyle w:val="ListBullet"/>
      </w:pPr>
      <w:r>
        <w:t>GET /api/reports/{id} — detailed results; 200/404.</w:t>
      </w:r>
    </w:p>
    <w:p>
      <w:pPr>
        <w:pStyle w:val="ListBullet"/>
      </w:pPr>
      <w:r>
        <w:t>DELETE /api/reports/{id} — delete user report; 200/404.</w:t>
      </w:r>
    </w:p>
    <w:p>
      <w:pPr>
        <w:pStyle w:val="ListBullet"/>
      </w:pPr>
      <w:r>
        <w:t>GET /api/reports/{id}/status — extraction/verification state; 200/404.</w:t>
      </w:r>
    </w:p>
    <w:p>
      <w:pPr>
        <w:pStyle w:val="ListBullet"/>
      </w:pPr>
      <w:r>
        <w:t>GET /api/reports/{id}/summary — explanations and uncertainty; 200/404.</w:t>
      </w:r>
    </w:p>
    <w:p>
      <w:pPr>
        <w:pStyle w:val="ListBullet"/>
      </w:pPr>
      <w:r>
        <w:t>GET /api/biomarkers/trends?analyte_code= — normalized longitudinal view; 200/422.</w:t>
      </w:r>
    </w:p>
    <w:p>
      <w:pPr>
        <w:pStyle w:val="ListBullet"/>
      </w:pPr>
      <w:r>
        <w:t>POST /api/nutrition/suggestions — food-based educational suggestions; 200/422.</w:t>
      </w:r>
    </w:p>
    <w:p>
      <w:pPr>
        <w:pStyle w:val="ListBullet"/>
      </w:pPr>
      <w:r>
        <w:t>POST /api/alcohol/education — health risk education; 200/422.</w:t>
      </w:r>
    </w:p>
    <w:p>
      <w:pPr>
        <w:pStyle w:val="Heading1"/>
      </w:pPr>
      <w:r>
        <w:t>7. Safety, privacy and trust</w:t>
      </w:r>
    </w:p>
    <w:p>
      <w:pPr>
        <w:pStyle w:val="ListBullet"/>
      </w:pPr>
      <w:r>
        <w:t>Values must always carry source, units, reference range and extraction confidence. Do not hallucinate absent results.</w:t>
      </w:r>
    </w:p>
    <w:p>
      <w:pPr>
        <w:pStyle w:val="ListBullet"/>
      </w:pPr>
      <w:r>
        <w:t>No final diagnoses, personalized drinking permissions, prescriptions or medication changes.</w:t>
      </w:r>
    </w:p>
    <w:p>
      <w:pPr>
        <w:pStyle w:val="ListBullet"/>
      </w:pPr>
      <w:r>
        <w:t>Atypical values require contextual interpretation; critical results need clinician-reviewed escalation rules.</w:t>
      </w:r>
    </w:p>
    <w:p>
      <w:pPr>
        <w:pStyle w:val="ListBullet"/>
      </w:pPr>
      <w:r>
        <w:t>Obtain meaningful consent; implement access controls, encryption in deployment, secure retention and deletion.</w:t>
      </w:r>
    </w:p>
    <w:p>
      <w:pPr>
        <w:pStyle w:val="ListBullet"/>
      </w:pPr>
      <w:r>
        <w:t>Test using synthetic reports; real clinical use requires security, quality, legal and clinical validation.</w:t>
      </w:r>
    </w:p>
    <w:p>
      <w:pPr>
        <w:pStyle w:val="Heading1"/>
      </w:pPr>
      <w:r>
        <w:t>8. Build milestones</w:t>
      </w:r>
    </w:p>
    <w:p>
      <w:pPr>
        <w:pStyle w:val="ListNumber"/>
      </w:pPr>
      <w:r>
        <w:t>0. Project setup — Create nutrisphere3d/ with backend/{main.</w:t>
      </w:r>
    </w:p>
    <w:p>
      <w:pPr>
        <w:pStyle w:val="ListNumber"/>
      </w:pPr>
      <w:r>
        <w:t>1. Test catalog and SQLite data model — Create tables users (local demo account, never store plaintext password), reports (id,user_id,file_name,mime_type,uploaded_at,analysis_status), biomarkers (id,report_id,analyte_code,label,value_numeric,value_text,unit,reference_low,reference_high,reference_text,flag,collection_date,source_page,extraction_confidence), interpretations (biomarker_id,explanation,reasoning_limits,followup), medications (opt-in structured context), nutrition_preferences, audit_events.</w:t>
      </w:r>
    </w:p>
    <w:p>
      <w:pPr>
        <w:pStyle w:val="ListNumber"/>
      </w:pPr>
      <w:r>
        <w:t>2. Pydantic schemas and privacy — Define ReportOut, AnalyteOut, InterpretationOut, UploadStatusOut, NutritionContextIn, AlcoholContextIn, ReportSummaryOut, ChartPoint and ErrorOut.</w:t>
      </w:r>
    </w:p>
    <w:p>
      <w:pPr>
        <w:pStyle w:val="ListNumber"/>
      </w:pPr>
      <w:r>
        <w:t>3. Upload and extraction API — Implement POST /api/reports (multipart PDF/JPG/PNG), GET /api/reports, GET /api/reports/{id}, DELETE /api/reports/{id}, GET /api/reports/{id}/status.</w:t>
      </w:r>
    </w:p>
    <w:p>
      <w:pPr>
        <w:pStyle w:val="ListNumber"/>
      </w:pPr>
      <w:r>
        <w:t>4. Units, reference intervals, and flagging — Normalize synonyms and units only with verified conversions.</w:t>
      </w:r>
    </w:p>
    <w:p>
      <w:pPr>
        <w:pStyle w:val="ListNumber"/>
      </w:pPr>
      <w:r>
        <w:t>5. Explain reports without diagnosing — For every extracted biomarker return: plain-English meaning, reported value/units, supplied reference range, potential associations phrased conditionally, factors affecting interpretation, related tests, source citation (report page), questions for a clinician, and a clear uncertainty indicator.</w:t>
      </w:r>
    </w:p>
    <w:p>
      <w:pPr>
        <w:pStyle w:val="ListNumber"/>
      </w:pPr>
      <w:r>
        <w:t>6. Nutrition knowledge and recommendations — Create opt-in preferences (vegetarian, vegan, non-vegetarian, allergies, cultural restrictions, budget, age group, relevant clinician-verified conditions).</w:t>
      </w:r>
    </w:p>
    <w:p>
      <w:pPr>
        <w:pStyle w:val="ListNumber"/>
      </w:pPr>
      <w:r>
        <w:t>7. Alcohol risk information — Present alcohol education rather than calculated medically safe personal limits.</w:t>
      </w:r>
    </w:p>
    <w:p>
      <w:pPr>
        <w:pStyle w:val="ListNumber"/>
      </w:pPr>
      <w:r>
        <w:t>8. Interactive 3D anatomical interface — Load Three.</w:t>
      </w:r>
    </w:p>
    <w:p>
      <w:pPr>
        <w:pStyle w:val="ListNumber"/>
      </w:pPr>
      <w:r>
        <w:t>9. Frontend visual system and pages — Create four responsive pages: landing (3D hero and privacy explanation), upload (drag-drop + consent + extraction progress), results (complete sortable/filterable marker table, summary, source citation, organ explorer), dashboard (trends across user-owned reports, nutrition and alcohol education).</w:t>
      </w:r>
    </w:p>
    <w:p>
      <w:pPr>
        <w:pStyle w:val="ListNumber"/>
      </w:pPr>
      <w:r>
        <w:t>10. Trend analysis and report comparisons — Create GET /api/biomarkers/trends?analyte_code=.</w:t>
      </w:r>
    </w:p>
    <w:p>
      <w:pPr>
        <w:pStyle w:val="ListNumber"/>
      </w:pPr>
      <w:r>
        <w:t>11. Postman and integration tests — Create nutrisphere3d-api.</w:t>
      </w:r>
    </w:p>
    <w:p>
      <w:pPr>
        <w:pStyle w:val="ListNumber"/>
      </w:pPr>
      <w:r>
        <w:t>12. Production safety, polish and handoff — Write README with architecture (browser → FastAPI → SQLite), exact run commands, limits, demo-only warning, catalog provenance, safety constraints, how to add a test, retention and deletion policy, access control, encryption and regulatory review requirements for deployment.</w:t>
      </w:r>
    </w:p>
    <w:p>
      <w:pPr>
        <w:pStyle w:val="Heading1"/>
      </w:pPr>
      <w:r>
        <w:t>9. Submission and evaluation</w:t>
      </w:r>
    </w:p>
    <w:p>
      <w:r>
        <w:t>Deliver working code or GitHub repository, 5–6 screenshots or a short video including 3D interaction, valid upload, a validation failure, report breakdown, dashboard and Postman results; plus a one-page reflection about client-server separation, API validation and data consistency.</w:t>
      </w:r>
    </w:p>
    <w:p>
      <w:r>
        <w:t>Suggested evaluation: functionality 30%; API design/validation 20%; database and extraction integrity 15%; UI/UX + 3D accessibility 15%; testing evidence 10%; reflection and safety explanation 10%.</w:t>
      </w:r>
    </w:p>
    <w:p>
      <w:pPr>
        <w:pStyle w:val="Heading1"/>
      </w:pPr>
      <w:r>
        <w:t>10. Practical implementation note</w:t>
      </w:r>
    </w:p>
    <w:p>
      <w:r>
        <w:t>Treat this as an educational prototype until the medical knowledge and processing rules have been evaluated by qualified clinicians. The companion Antigravity prompts file provides the detailed, individually testable implementation steps.</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495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49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F49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