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color w:val="000000"/>
          <w:sz w:val="36"/>
          <w:szCs w:val="36"/>
        </w:rPr>
        <w:t xml:space="preserve">ABSTRACT</w:t>
      </w:r>
    </w:p>
    <w:p>
      <w:pPr>
        <w:spacing w:after="120" w:before="120" w:line="360"/>
        <w:jc w:val="both"/>
      </w:pPr>
      <w:r>
        <w:rPr>
          <w:rFonts w:ascii="Times New Roman" w:cs="Times New Roman" w:eastAsia="Times New Roman" w:hAnsi="Times New Roman"/>
          <w:color w:val="000000"/>
          <w:sz w:val="24"/>
          <w:szCs w:val="24"/>
        </w:rPr>
        <w:t xml:space="preserve">Public procurement in government ministries and public sector enterprises follows statutory rules including the General Financial Rules, Central Vigilance Commission guidelines, and periodic Department of Expenditure notifications. Compliance officers have to continuously monitor public portals to update internal policy registers. Manual tracking across portal circulars is slow and introduces transcription errors on critical reference numbers and effective dates. Passing incoming files directly to large language model APIs is expensive and leads to rate limit failures when processing large document batches. Generative models also occasionally fabricate official memorandum identifiers.</w:t>
      </w:r>
    </w:p>
    <w:p>
      <w:pPr>
        <w:spacing w:after="120" w:before="120" w:line="360"/>
        <w:jc w:val="both"/>
      </w:pPr>
      <w:r>
        <w:rPr>
          <w:rFonts w:ascii="Times New Roman" w:cs="Times New Roman" w:eastAsia="Times New Roman" w:hAnsi="Times New Roman"/>
          <w:color w:val="000000"/>
          <w:sz w:val="24"/>
          <w:szCs w:val="24"/>
        </w:rPr>
        <w:t xml:space="preserve">This project presents DocSort, a two-stage document processing engine designed for regulatory document classification and verifiable metadata extraction. In the first stage, a linear classifier based on sublinear term frequency features filters non-procurement administrative circulars in 3.8 milliseconds on standard CPU hardware. In the second stage, relevant documents proceed to an instruction-tuned language model under strict schema constraints and a fixed category vocabulary. A deterministic verification layer confirms that all extracted factual values appear verbatim in the source text, flagging discrepancies for human review without silent modification.</w:t>
      </w:r>
    </w:p>
    <w:p>
      <w:pPr>
        <w:spacing w:after="120" w:before="120" w:line="360"/>
        <w:jc w:val="both"/>
      </w:pPr>
      <w:r>
        <w:rPr>
          <w:rFonts w:ascii="Times New Roman" w:cs="Times New Roman" w:eastAsia="Times New Roman" w:hAnsi="Times New Roman"/>
          <w:color w:val="000000"/>
          <w:sz w:val="24"/>
          <w:szCs w:val="24"/>
        </w:rPr>
        <w:t xml:space="preserve">To train the classifier without costly manual annotation, a dataset was constructed from official portals using paragraph-level chunking and weak supervision. Experimental results on real Indian regulatory circulars indicate that early linear filtering eliminates 57% of language model calls, cutting mean document processing latency from 4.2 seconds to 1.9 seconds while preventing API quota exhaustion. The verification check identifies factual discrepancies in approximately 6% of extractions, preserving audit reliability.</w:t>
      </w:r>
    </w:p>
    <w:p>
      <w:pPr>
        <w:pageBreakBefore/>
      </w:pPr>
    </w:p>
    <w:p>
      <w:pPr>
        <w:spacing w:after="300" w:before="200"/>
        <w:jc w:val="center"/>
      </w:pPr>
      <w:r>
        <w:rPr>
          <w:rFonts w:ascii="Times New Roman" w:cs="Times New Roman" w:eastAsia="Times New Roman" w:hAnsi="Times New Roman"/>
          <w:b/>
          <w:bCs/>
          <w:color w:val="000000"/>
          <w:sz w:val="36"/>
          <w:szCs w:val="36"/>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5867"/>
        <w:gridCol w:w="1354"/>
      </w:tblGrid>
      <w:tr>
        <w:tc>
          <w:tcPr>
            <w:tcW w:type="pct" w:w="100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CHAPTER NO.</w:t>
            </w:r>
          </w:p>
        </w:tc>
        <w:tc>
          <w:tcPr>
            <w:tcW w:type="pct" w:w="3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TITLE</w:t>
            </w:r>
          </w:p>
        </w:tc>
        <w:tc>
          <w:tcPr>
            <w:tcW w:type="pct" w:w="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PAGE NO.</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ABSTRACT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v</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TABLE OF CONTENTS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vi</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LIST OF FIGURES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viii</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LIST OF TABLES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ix</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LIST OF ABBREVIATIONS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x</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INTRODUCTION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Background and Regulatory Environment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Problem Statement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Scope and Limitations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Methodology Overview</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1.5</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Organization of the Report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LITERATURE SURVEY</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Manual Regulatory Compliance Tracking</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Portal Keyword and Boolean Search</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7</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Pre-trained Transformer Encoders in Legal NLP</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8</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Large Language Models for Information Extraction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RESEARCH GAPS OF EXISTING METHODS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11</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High Cost and Token Bottlenecks in End-to-End LLMs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11</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Factual Hallucination and Category Drift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12</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Scarcity of Annotated Public Procurement Datasets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13</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PROPOSED METHODOLOGY</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Document Ingestion and Scanned File Detection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1: Linear Pre-Filtering with Sublinear TF-IDF</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15</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2: Constrained Metadata Extraction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17</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3: Deterministic Verbatim Verification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19</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4.5</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Weak Supervision Dataset Construction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20</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5</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OBJECTIVES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23</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6</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SYSTEM DESIGN AND IMPLEMENTATION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Architecture and Component Communication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Python Machine Learning Engine Module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26</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Go Microservice Backend Module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28</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React User Interface Module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29</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6.5</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Database Schema and Storage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30</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7</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TIMELINE FOR EXECUTION OF PROJECT (GANTT CHART)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32</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8</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OUTCOMES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34</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9</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RESULTS AND DISCUSSIONS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35</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9.1</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1 Relevance Classification Evaluation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35</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9.2</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System Latency and Token Resource Savings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37</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9.3</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Verbatim Verification Audit Analysis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38</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9.4</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Taxonomy Compliance Evaluation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39</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CONCLUSION AND FUTURE WORK</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41</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REFERENCES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43</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APPENDIX-A: PSEUDOCODE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45</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APPENDIX-B: SYSTEM SCREENSHOTS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47</w:t>
            </w:r>
          </w:p>
        </w:tc>
      </w:tr>
      <w:tr>
        <w:tc>
          <w:tcPr>
            <w:tcW w:type="pct" w:w="100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APPENDIX-C: ENCLOSURES (SDG MAPPING)</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50</w:t>
            </w:r>
          </w:p>
        </w:tc>
      </w:tr>
    </w:tbl>
    <w:p>
      <w:pPr>
        <w:pageBreakBefore/>
      </w:pPr>
    </w:p>
    <w:p>
      <w:pPr>
        <w:spacing w:after="300" w:before="200"/>
        <w:jc w:val="center"/>
      </w:pPr>
      <w:r>
        <w:rPr>
          <w:rFonts w:ascii="Times New Roman" w:cs="Times New Roman" w:eastAsia="Times New Roman" w:hAnsi="Times New Roman"/>
          <w:b/>
          <w:bCs/>
          <w:color w:val="000000"/>
          <w:sz w:val="36"/>
          <w:szCs w:val="36"/>
        </w:rP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4062"/>
        <w:gridCol w:w="1354"/>
      </w:tblGrid>
      <w:tr>
        <w:tc>
          <w:tcPr>
            <w:tcW w:type="pct" w:w="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SL. NO.</w:t>
            </w:r>
          </w:p>
        </w:tc>
        <w:tc>
          <w:tcPr>
            <w:tcW w:type="pct" w:w="1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FIGURE NAME</w:t>
            </w:r>
          </w:p>
        </w:tc>
        <w:tc>
          <w:tcPr>
            <w:tcW w:type="pct" w:w="2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CAPTION</w:t>
            </w:r>
          </w:p>
        </w:tc>
        <w:tc>
          <w:tcPr>
            <w:tcW w:type="pct" w:w="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PAGE NO.</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1.1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Indian Public Procurement Document Distribution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4.1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DocSort System Architecture Pipeline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15</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4.2</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Weak Supervision and Chunking Workflow</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21</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6.1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Full-Stack Multi-Service Architecture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25</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6.2</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FastAPI Engine Request Handling Pipeline</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27</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9.1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Processing Latency Comparison Across 100 Documents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38</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7</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Figure 9.2</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Field-wise Verification Pass Rate Distribution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40</w:t>
            </w:r>
          </w:p>
        </w:tc>
      </w:tr>
    </w:tbl>
    <w:p>
      <w:pPr>
        <w:pageBreakBefore/>
      </w:pPr>
    </w:p>
    <w:p>
      <w:pPr>
        <w:spacing w:after="300" w:before="200"/>
        <w:jc w:val="center"/>
      </w:pPr>
      <w:r>
        <w:rPr>
          <w:rFonts w:ascii="Times New Roman" w:cs="Times New Roman" w:eastAsia="Times New Roman" w:hAnsi="Times New Roman"/>
          <w:b/>
          <w:bCs/>
          <w:color w:val="000000"/>
          <w:sz w:val="36"/>
          <w:szCs w:val="36"/>
        </w:rPr>
        <w:t xml:space="preserve">LIST OF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4062"/>
        <w:gridCol w:w="1354"/>
      </w:tblGrid>
      <w:tr>
        <w:tc>
          <w:tcPr>
            <w:tcW w:type="pct" w:w="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SL. NO.</w:t>
            </w:r>
          </w:p>
        </w:tc>
        <w:tc>
          <w:tcPr>
            <w:tcW w:type="pct" w:w="1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TABLE NAME</w:t>
            </w:r>
          </w:p>
        </w:tc>
        <w:tc>
          <w:tcPr>
            <w:tcW w:type="pct" w:w="2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CAPTION</w:t>
            </w:r>
          </w:p>
        </w:tc>
        <w:tc>
          <w:tcPr>
            <w:tcW w:type="pct" w:w="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PAGE NO.</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1.1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Comparison of Existing Methods with DocSort</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4.1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Closed Category Taxonomy Vocabulary</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18</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5.1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Target Quantitative Performance Metrics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23</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7.1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Project Execution Timeline and Work Phases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33</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5</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9.1</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Stage 1 Relevance Classification Results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36</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6</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9.2</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System Latency and Token Usage on 100 Documents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37</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7</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9.3</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Verbatim Verification Results Across Factual Fields</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39</w:t>
            </w:r>
          </w:p>
        </w:tc>
      </w:tr>
      <w:tr>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8</w:t>
            </w:r>
          </w:p>
        </w:tc>
        <w:tc>
          <w:tcPr>
            <w:tcW w:type="pct" w:w="1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Table 9.4</w:t>
            </w:r>
          </w:p>
        </w:tc>
        <w:tc>
          <w:tcPr>
            <w:tcW w:type="pct" w:w="2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Category Taxonomy Adherence Comparison</w:t>
            </w:r>
          </w:p>
        </w:tc>
        <w:tc>
          <w:tcPr>
            <w:tcW w:type="pct" w:w="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40</w:t>
            </w:r>
          </w:p>
        </w:tc>
      </w:tr>
    </w:tbl>
    <w:p>
      <w:pPr>
        <w:pageBreakBefore/>
      </w:pPr>
    </w:p>
    <w:p>
      <w:pPr>
        <w:spacing w:after="300" w:before="200"/>
        <w:jc w:val="center"/>
      </w:pPr>
      <w:r>
        <w:rPr>
          <w:rFonts w:ascii="Times New Roman" w:cs="Times New Roman" w:eastAsia="Times New Roman" w:hAnsi="Times New Roman"/>
          <w:b/>
          <w:bCs/>
          <w:color w:val="000000"/>
          <w:sz w:val="36"/>
          <w:szCs w:val="36"/>
        </w:rPr>
        <w:t xml:space="preserve">LIST OF ABBREVIATIONS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ABBREVIATION</w:t>
            </w:r>
          </w:p>
        </w:tc>
        <w:tc>
          <w:tcPr>
            <w:tcW w:type="pct" w:w="3250"/>
            <w:tcBorders>
              <w:top w:val="single" w:color="888888" w:sz="4"/>
              <w:left w:val="none"/>
              <w:bottom w:val="single" w:color="888888" w:sz="4"/>
              <w:right w:val="none"/>
            </w:tcBorders>
          </w:tcPr>
          <w:p>
            <w:pPr>
              <w:spacing w:after="80" w:before="80"/>
              <w:jc w:val="left"/>
            </w:pPr>
            <w:r>
              <w:rPr>
                <w:rFonts w:ascii="Times New Roman" w:cs="Times New Roman" w:eastAsia="Times New Roman" w:hAnsi="Times New Roman"/>
                <w:b/>
                <w:bCs/>
                <w:color w:val="000000"/>
                <w:sz w:val="22"/>
                <w:szCs w:val="22"/>
              </w:rPr>
              <w:t xml:space="preserve">FULL FORM</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API</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CPSE</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Central Public Sector Enterprise</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CPU</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Central Processing Unit</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CVC</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Central Vigilance Commission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DoE</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Department of Expenditure</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DoPT</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Department of Personnel and Training</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EMD</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Earnest Money Deposit</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GeM</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Government e-Marketplace</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GFR</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General Financial Rules</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GPU</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Graphics Processing Unit</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IDF</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Inverse Document Frequency</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JSON</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JavaScript Object Notation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LF</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Labeling Function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LLM</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Large Language Model</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LR</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Logistic Regression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MSME</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Micro, Small and Medium Enterprises</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NER</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Named Entity Recognition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NLP</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Natural Language Processing</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OCR</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Optical Character Recognition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OM</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Office Memorandum</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PDF</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Portable Document Format</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PFMS</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Public Financial Management System</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PPD</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Procurement Policy Division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PSU</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Public Sector Undertaking</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REST</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SDG</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Sustainable Development Goal</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TF</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Term Frequency</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TF-IDF</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Term Frequency-Inverse Document Frequency</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TPM</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Tokens Per Minute</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UGC</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University Grants Commission</w:t>
            </w:r>
          </w:p>
        </w:tc>
      </w:tr>
      <w:tr>
        <w:tc>
          <w:tcPr>
            <w:tcW w:type="pct" w:w="17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bCs/>
                <w:color w:val="000000"/>
                <w:sz w:val="22"/>
                <w:szCs w:val="22"/>
              </w:rPr>
              <w:t xml:space="preserve">UI</w:t>
            </w:r>
          </w:p>
        </w:tc>
        <w:tc>
          <w:tcPr>
            <w:tcW w:type="pct" w:w="3250"/>
            <w:tcBorders>
              <w:top w:val="single" w:color="888888" w:sz="4"/>
              <w:left w:val="none"/>
              <w:bottom w:val="single" w:color="888888" w:sz="4"/>
              <w:right w:val="none"/>
            </w:tcBorders>
          </w:tcPr>
          <w:p>
            <w:pPr>
              <w:spacing w:after="60" w:before="60"/>
              <w:jc w:val="left"/>
            </w:pPr>
            <w:r>
              <w:rPr>
                <w:rFonts w:ascii="Times New Roman" w:cs="Times New Roman" w:eastAsia="Times New Roman" w:hAnsi="Times New Roman"/>
                <w:b w:val="false"/>
                <w:bCs w:val="false"/>
                <w:color w:val="000000"/>
                <w:sz w:val="22"/>
                <w:szCs w:val="22"/>
              </w:rPr>
              <w:t xml:space="preserve">User Interface</w:t>
            </w:r>
          </w:p>
        </w:tc>
      </w:tr>
    </w:tbl>
    <w:sectPr>
      <w:footerReference w:type="default" r:id="rId6"/>
      <w:pgSz w:w="11906" w:h="16838" w:orient="portrait"/>
      <w:pgMar w:top="1440" w:right="1440" w:bottom="1440" w:left="1440" w:header="708" w:footer="708" w:gutter="0"/>
      <w:pgNumType w:start="5" w:fmt="lowerRoman"/>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2026-10-22T05:52:32.986Z</dcterms:created>
  <dcterms:modified xsi:type="dcterms:W3CDTF">2026-10-22T05:52:32.987Z</dcterms:modified>
</cp:coreProperties>
</file>

<file path=docProps/custom.xml><?xml version="1.0" encoding="utf-8"?>
<Properties xmlns="http://schemas.openxmlformats.org/officeDocument/2006/custom-properties" xmlns:vt="http://schemas.openxmlformats.org/officeDocument/2006/docPropsVTypes"/>
</file>