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100" w:before="300"/>
        <w:jc w:val="center"/>
      </w:pPr>
      <w:r>
        <w:rPr>
          <w:rFonts w:ascii="Times New Roman" w:cs="Times New Roman" w:eastAsia="Times New Roman" w:hAnsi="Times New Roman"/>
          <w:b/>
          <w:bCs/>
          <w:color w:val="000000"/>
          <w:sz w:val="36"/>
          <w:szCs w:val="36"/>
        </w:rPr>
        <w:t xml:space="preserve">CHAPTER 1</w:t>
      </w:r>
    </w:p>
    <w:p>
      <w:pPr>
        <w:spacing w:after="300" w:before="100"/>
        <w:jc w:val="center"/>
      </w:pPr>
      <w:r>
        <w:rPr>
          <w:rFonts w:ascii="Times New Roman" w:cs="Times New Roman" w:eastAsia="Times New Roman" w:hAnsi="Times New Roman"/>
          <w:b/>
          <w:bCs/>
          <w:color w:val="000000"/>
          <w:sz w:val="36"/>
          <w:szCs w:val="36"/>
        </w:rPr>
        <w:t xml:space="preserve">INTRODUCTION</w:t>
      </w:r>
    </w:p>
    <w:p>
      <w:pPr>
        <w:spacing w:after="140" w:before="240"/>
        <w:jc w:val="left"/>
      </w:pPr>
      <w:r>
        <w:rPr>
          <w:rFonts w:ascii="Times New Roman" w:cs="Times New Roman" w:eastAsia="Times New Roman" w:hAnsi="Times New Roman"/>
          <w:b/>
          <w:bCs/>
          <w:color w:val="000000"/>
          <w:sz w:val="32"/>
          <w:szCs w:val="32"/>
        </w:rPr>
        <w:t xml:space="preserve">1.1 Background and Regulatory Context</w:t>
      </w:r>
    </w:p>
    <w:p>
      <w:pPr>
        <w:spacing w:after="100" w:before="100" w:line="360"/>
        <w:jc w:val="both"/>
      </w:pPr>
      <w:r>
        <w:rPr>
          <w:rFonts w:ascii="Times New Roman" w:cs="Times New Roman" w:eastAsia="Times New Roman" w:hAnsi="Times New Roman"/>
          <w:color w:val="000000"/>
          <w:sz w:val="24"/>
          <w:szCs w:val="24"/>
        </w:rPr>
        <w:t xml:space="preserve">Public procurement across Indian government ministries, central public sector enterprises, and autonomous statutory bodies represents an estimated 20 to 30 percent of the national gross domestic product. This purchasing activity is governed by codified regulatory frameworks. The primary baseline is the General Financial Rules (GFR 2017), supported by statutory anti-corruption directives from the Central Vigilance Commission (CVC), executive notifications from the Department of Expenditure under the Ministry of Finance, and operational guidelines from the Government e-Marketplace (GeM).</w:t>
      </w:r>
    </w:p>
    <w:p>
      <w:pPr>
        <w:spacing w:after="100" w:before="100" w:line="360"/>
        <w:jc w:val="both"/>
      </w:pPr>
      <w:r>
        <w:rPr>
          <w:rFonts w:ascii="Times New Roman" w:cs="Times New Roman" w:eastAsia="Times New Roman" w:hAnsi="Times New Roman"/>
          <w:color w:val="000000"/>
          <w:sz w:val="24"/>
          <w:szCs w:val="24"/>
        </w:rPr>
        <w:t xml:space="preserve">These administrative authorities issue regular amendments, clarifications, and Office Memoranda (OMs). These notices modify open bidding thresholds, declare mandatory electronic procurement rules, alter earnest money deposit exemptions, and impose payment settlement timelines through the Public Financial Management System (PFMS). Compliance officers within procuring entities have to continuously track, review, and record these policy changes into organizational registers.</w:t>
      </w:r>
    </w:p>
    <w:p>
      <w:pPr>
        <w:spacing w:after="140" w:before="240"/>
        <w:jc w:val="left"/>
      </w:pPr>
      <w:r>
        <w:rPr>
          <w:rFonts w:ascii="Times New Roman" w:cs="Times New Roman" w:eastAsia="Times New Roman" w:hAnsi="Times New Roman"/>
          <w:b/>
          <w:bCs/>
          <w:color w:val="000000"/>
          <w:sz w:val="32"/>
          <w:szCs w:val="32"/>
        </w:rPr>
        <w:t xml:space="preserve">1.2 Problem Statement</w:t>
      </w:r>
    </w:p>
    <w:p>
      <w:pPr>
        <w:spacing w:after="100" w:before="100" w:line="360"/>
        <w:jc w:val="both"/>
      </w:pPr>
      <w:r>
        <w:rPr>
          <w:rFonts w:ascii="Times New Roman" w:cs="Times New Roman" w:eastAsia="Times New Roman" w:hAnsi="Times New Roman"/>
          <w:color w:val="000000"/>
          <w:sz w:val="24"/>
          <w:szCs w:val="24"/>
        </w:rPr>
        <w:t xml:space="preserve">In day-to-day administrative operations, public portals publish hundreds of circulars. Over 80 percent of these files represent general administrative notices such as holiday schedules, staff transfers, pension notifications, and training rosters. Legally binding procurement policy circulars make up less than 20 percent of the stream. Compliance teams currently review these streams by manually downloading files and transcribing reference numbers, dates, and clauses into spreadsheets.</w:t>
      </w:r>
    </w:p>
    <w:p>
      <w:pPr>
        <w:spacing w:after="100" w:before="100" w:line="360"/>
        <w:jc w:val="both"/>
      </w:pPr>
      <w:r>
        <w:rPr>
          <w:rFonts w:ascii="Times New Roman" w:cs="Times New Roman" w:eastAsia="Times New Roman" w:hAnsi="Times New Roman"/>
          <w:color w:val="000000"/>
          <w:sz w:val="24"/>
          <w:szCs w:val="24"/>
        </w:rPr>
        <w:t xml:space="preserve">This manual review has three operational problems. First, it requires hours of clerical reading per batch of documents. Second, human transcription error rates on alphanumeric memorandum identifiers range from 12 to 18 percent. Third, modern circulars frequently contain supersession clauses that void earlier rules without changing document titles. A missed supersession notice leads to tenders published under outdated financial limits, inviting vigilance queries and legal disputes.</w:t>
      </w:r>
    </w:p>
    <w:p>
      <w:pPr>
        <w:spacing w:after="120" w:before="60"/>
        <w:jc w:val="center"/>
      </w:pPr>
      <w:r>
        <w:rPr>
          <w:rFonts w:ascii="Times New Roman" w:cs="Times New Roman" w:eastAsia="Times New Roman" w:hAnsi="Times New Roman"/>
          <w:b/>
          <w:bCs/>
          <w:color w:val="000000"/>
          <w:sz w:val="22"/>
          <w:szCs w:val="22"/>
        </w:rPr>
        <w:t xml:space="preserve">Figure 1.1: Document Distribution and Processing Pipeline</w:t>
      </w:r>
    </w:p>
    <w:p>
      <w:pPr>
        <w:spacing w:after="140" w:before="240"/>
        <w:jc w:val="left"/>
      </w:pPr>
      <w:r>
        <w:rPr>
          <w:rFonts w:ascii="Times New Roman" w:cs="Times New Roman" w:eastAsia="Times New Roman" w:hAnsi="Times New Roman"/>
          <w:b/>
          <w:bCs/>
          <w:color w:val="000000"/>
          <w:sz w:val="32"/>
          <w:szCs w:val="32"/>
        </w:rPr>
        <w:t xml:space="preserve">1.3 Scope and Limitations</w:t>
      </w:r>
    </w:p>
    <w:p>
      <w:pPr>
        <w:spacing w:after="100" w:before="100" w:line="360"/>
        <w:jc w:val="both"/>
      </w:pPr>
      <w:r>
        <w:rPr>
          <w:rFonts w:ascii="Times New Roman" w:cs="Times New Roman" w:eastAsia="Times New Roman" w:hAnsi="Times New Roman"/>
          <w:color w:val="000000"/>
          <w:sz w:val="24"/>
          <w:szCs w:val="24"/>
        </w:rPr>
        <w:t xml:space="preserve">The scope of this project is focused on digital PDF circulars issued by central ministries. The processing engine handles native digital PDFs where embedded text is extractable directly. Scanned raster images and distorted photocopies without text layers are detected by a character volume guard and isolated. Integrating optical character recognition for legacy scanned archives is left for future iterations.</w:t>
      </w:r>
    </w:p>
    <w:p>
      <w:pPr>
        <w:spacing w:after="140" w:before="240"/>
        <w:jc w:val="left"/>
      </w:pPr>
      <w:r>
        <w:rPr>
          <w:rFonts w:ascii="Times New Roman" w:cs="Times New Roman" w:eastAsia="Times New Roman" w:hAnsi="Times New Roman"/>
          <w:b/>
          <w:bCs/>
          <w:color w:val="000000"/>
          <w:sz w:val="32"/>
          <w:szCs w:val="32"/>
        </w:rPr>
        <w:t xml:space="preserve">1.4 Methodology Overview</w:t>
      </w:r>
    </w:p>
    <w:p>
      <w:pPr>
        <w:spacing w:after="100" w:before="100" w:line="360"/>
        <w:jc w:val="both"/>
      </w:pPr>
      <w:r>
        <w:rPr>
          <w:rFonts w:ascii="Times New Roman" w:cs="Times New Roman" w:eastAsia="Times New Roman" w:hAnsi="Times New Roman"/>
          <w:color w:val="000000"/>
          <w:sz w:val="24"/>
          <w:szCs w:val="24"/>
        </w:rPr>
        <w:t xml:space="preserve">DocSort uses a two-stage hybrid architecture. Stage 1 executes a lightweight linear classifier on extracted text using sublinear term-frequency features. This step evaluates relevance in 3.8 milliseconds on a standard central processing unit, filtering out non-procurement administrative notices. Relevant circulars pass to Stage 2, where an instruction-tuned language model extracts seven structured fields under a Pydantic schema validator with a closed category taxonomy. Stage 3 performs a deterministic case-insensitive substring verification, confirming that factual strings exist in the raw document text and flagging discrepancies.</w:t>
      </w:r>
    </w:p>
    <w:p>
      <w:pPr>
        <w:spacing w:after="60" w:before="120"/>
        <w:jc w:val="center"/>
      </w:pPr>
      <w:r>
        <w:rPr>
          <w:rFonts w:ascii="Times New Roman" w:cs="Times New Roman" w:eastAsia="Times New Roman" w:hAnsi="Times New Roman"/>
          <w:b/>
          <w:bCs/>
          <w:color w:val="000000"/>
          <w:sz w:val="22"/>
          <w:szCs w:val="22"/>
        </w:rPr>
        <w:t xml:space="preserve">Table 1.1: Comparison of Existing Processing Methods with DocSort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Metric</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Manual Triage</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Direct LLM Pipeline</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DocSort (Proposed)</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Average Latency</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4.5 hours / batch</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4.2 s / document</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1.9 s / document</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1 Triage Time</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Manual</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None (0 ms)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3.8 ms (CPU)</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Tokens (100 docs)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245,000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105,350 (-57%)</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Rate-Limit Failures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7 / 100 calls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 / 100 calls</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Category Drift</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Subjective tags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14.2% out-of-vocab</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0.0% (Enforced)</w:t>
            </w:r>
          </w:p>
        </w:tc>
      </w:tr>
      <w:tr>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Hardware Needed</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Human labor</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Cloud GPU / API</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Commodity CPU</w:t>
            </w:r>
          </w:p>
        </w:tc>
      </w:tr>
    </w:tbl>
    <w:p>
      <w:pPr>
        <w:spacing w:after="140" w:before="240"/>
        <w:jc w:val="left"/>
      </w:pPr>
      <w:r>
        <w:rPr>
          <w:rFonts w:ascii="Times New Roman" w:cs="Times New Roman" w:eastAsia="Times New Roman" w:hAnsi="Times New Roman"/>
          <w:b/>
          <w:bCs/>
          <w:color w:val="000000"/>
          <w:sz w:val="32"/>
          <w:szCs w:val="32"/>
        </w:rPr>
        <w:t xml:space="preserve">1.5 Organization of the Report</w:t>
      </w:r>
    </w:p>
    <w:p>
      <w:pPr>
        <w:spacing w:after="100" w:before="100" w:line="360"/>
        <w:jc w:val="both"/>
      </w:pPr>
      <w:r>
        <w:rPr>
          <w:rFonts w:ascii="Times New Roman" w:cs="Times New Roman" w:eastAsia="Times New Roman" w:hAnsi="Times New Roman"/>
          <w:color w:val="000000"/>
          <w:sz w:val="24"/>
          <w:szCs w:val="24"/>
        </w:rPr>
        <w:t xml:space="preserve">The remainder of this report is organized as follows: Chapter 2 reviews literature and existing techniques. Chapter 3 outlines specific research gaps. Chapter 4 details the proposed methodology, mathematical formulas, and weak supervision pipeline. Chapter 5 states the project objectives. Chapter 6 describes system architecture and module implementations. Chapter 7 presents the project timeline. Chapter 8 summarizes key outcomes. Chapter 9 presents experimental results, latency benchmarks, and verification evaluations. Finally, conclusions and future work are drawn.</w:t>
      </w:r>
    </w:p>
    <w:p>
      <w:pPr>
        <w:pageBreakBefore/>
        <w:spacing w:after="100" w:before="300"/>
        <w:jc w:val="center"/>
      </w:pPr>
      <w:r>
        <w:rPr>
          <w:rFonts w:ascii="Times New Roman" w:cs="Times New Roman" w:eastAsia="Times New Roman" w:hAnsi="Times New Roman"/>
          <w:b/>
          <w:bCs/>
          <w:color w:val="000000"/>
          <w:sz w:val="36"/>
          <w:szCs w:val="36"/>
        </w:rPr>
        <w:t xml:space="preserve">CHAPTER 2</w:t>
      </w:r>
    </w:p>
    <w:p>
      <w:pPr>
        <w:spacing w:after="300" w:before="100"/>
        <w:jc w:val="center"/>
      </w:pPr>
      <w:r>
        <w:rPr>
          <w:rFonts w:ascii="Times New Roman" w:cs="Times New Roman" w:eastAsia="Times New Roman" w:hAnsi="Times New Roman"/>
          <w:b/>
          <w:bCs/>
          <w:color w:val="000000"/>
          <w:sz w:val="36"/>
          <w:szCs w:val="36"/>
        </w:rPr>
        <w:t xml:space="preserve">LITERATURE SURVEY</w:t>
      </w:r>
    </w:p>
    <w:p>
      <w:pPr>
        <w:spacing w:after="140" w:before="240"/>
        <w:jc w:val="left"/>
      </w:pPr>
      <w:r>
        <w:rPr>
          <w:rFonts w:ascii="Times New Roman" w:cs="Times New Roman" w:eastAsia="Times New Roman" w:hAnsi="Times New Roman"/>
          <w:b/>
          <w:bCs/>
          <w:color w:val="000000"/>
          <w:sz w:val="32"/>
          <w:szCs w:val="32"/>
        </w:rPr>
        <w:t xml:space="preserve">2.1 Manual Regulatory Compliance Tracking</w:t>
      </w:r>
    </w:p>
    <w:p>
      <w:pPr>
        <w:spacing w:after="100" w:before="100" w:line="360"/>
        <w:jc w:val="both"/>
      </w:pPr>
      <w:r>
        <w:rPr>
          <w:rFonts w:ascii="Times New Roman" w:cs="Times New Roman" w:eastAsia="Times New Roman" w:hAnsi="Times New Roman"/>
          <w:color w:val="000000"/>
          <w:sz w:val="24"/>
          <w:szCs w:val="24"/>
        </w:rPr>
        <w:t xml:space="preserve">Compliance tracking in public sector administration has historically depended on clerical staff reading gazette notifications and official circulars. Manning et al. observed that administrative record-keeping in public finance faces systematic clerical bottlenecks when dealing with high regulatory document frequency. Human operators experience cognitive fatigue during continuous reading, leading to inconsistent category tagging and missed supersession references.</w:t>
      </w:r>
    </w:p>
    <w:p>
      <w:pPr>
        <w:spacing w:after="140" w:before="240"/>
        <w:jc w:val="left"/>
      </w:pPr>
      <w:r>
        <w:rPr>
          <w:rFonts w:ascii="Times New Roman" w:cs="Times New Roman" w:eastAsia="Times New Roman" w:hAnsi="Times New Roman"/>
          <w:b/>
          <w:bCs/>
          <w:color w:val="000000"/>
          <w:sz w:val="32"/>
          <w:szCs w:val="32"/>
        </w:rPr>
        <w:t xml:space="preserve">2.2 Government Portal Keyword and Boolean Retrieval</w:t>
      </w:r>
    </w:p>
    <w:p>
      <w:pPr>
        <w:spacing w:after="100" w:before="100" w:line="360"/>
        <w:jc w:val="both"/>
      </w:pPr>
      <w:r>
        <w:rPr>
          <w:rFonts w:ascii="Times New Roman" w:cs="Times New Roman" w:eastAsia="Times New Roman" w:hAnsi="Times New Roman"/>
          <w:color w:val="000000"/>
          <w:sz w:val="24"/>
          <w:szCs w:val="24"/>
        </w:rPr>
        <w:t xml:space="preserve">Public portals such as GeM and the Central Public Procurement Portal provide standard keyword and Boolean search interfaces. Salton and Buckley demonstrated that term matching techniques struggle when specialized domain terminology appears inside routine administrative boilerplate. In our baseline tests, search queries matching words like tender or procurement produced 42 percent false positives because routine departmental circulars frequently cite procurement divisions in their distribution headers without containing regulatory guidelines.</w:t>
      </w:r>
    </w:p>
    <w:p>
      <w:pPr>
        <w:spacing w:after="140" w:before="240"/>
        <w:jc w:val="left"/>
      </w:pPr>
      <w:r>
        <w:rPr>
          <w:rFonts w:ascii="Times New Roman" w:cs="Times New Roman" w:eastAsia="Times New Roman" w:hAnsi="Times New Roman"/>
          <w:b/>
          <w:bCs/>
          <w:color w:val="000000"/>
          <w:sz w:val="32"/>
          <w:szCs w:val="32"/>
        </w:rPr>
        <w:t xml:space="preserve">2.3 Pre-trained Transformer Encoders in Legal NLP</w:t>
      </w:r>
    </w:p>
    <w:p>
      <w:pPr>
        <w:spacing w:after="100" w:before="100" w:line="360"/>
        <w:jc w:val="both"/>
      </w:pPr>
      <w:r>
        <w:rPr>
          <w:rFonts w:ascii="Times New Roman" w:cs="Times New Roman" w:eastAsia="Times New Roman" w:hAnsi="Times New Roman"/>
          <w:color w:val="000000"/>
          <w:sz w:val="24"/>
          <w:szCs w:val="24"/>
        </w:rPr>
        <w:t xml:space="preserve">The development of bidirectional encoder representations (BERT) by Devlin et al. introduced transformer-based language representations for sequence classification. In the legal domain, Chalkidis et al. trained Legal-BERT on legal corpora from European jurisdictions, and Hendrycks et al. introduced CUAD for contract understanding. While these dense encoder models perform well on structured contract reviews, they require thousands of annotated domain-specific training examples and dedicated GPU acceleration for production inference.</w:t>
      </w:r>
    </w:p>
    <w:p>
      <w:pPr>
        <w:spacing w:after="140" w:before="240"/>
        <w:jc w:val="left"/>
      </w:pPr>
      <w:r>
        <w:rPr>
          <w:rFonts w:ascii="Times New Roman" w:cs="Times New Roman" w:eastAsia="Times New Roman" w:hAnsi="Times New Roman"/>
          <w:b/>
          <w:bCs/>
          <w:color w:val="000000"/>
          <w:sz w:val="32"/>
          <w:szCs w:val="32"/>
        </w:rPr>
        <w:t xml:space="preserve">2.4 Large Language Models for Information Extraction</w:t>
      </w:r>
    </w:p>
    <w:p>
      <w:pPr>
        <w:spacing w:after="100" w:before="100" w:line="360"/>
        <w:jc w:val="both"/>
      </w:pPr>
      <w:r>
        <w:rPr>
          <w:rFonts w:ascii="Times New Roman" w:cs="Times New Roman" w:eastAsia="Times New Roman" w:hAnsi="Times New Roman"/>
          <w:color w:val="000000"/>
          <w:sz w:val="24"/>
          <w:szCs w:val="24"/>
        </w:rPr>
        <w:t xml:space="preserve">Instruction-tuned autoregressive language models, based on the transformer architecture by Vaswani et al., have shown strong capabilities in zero-shot and few-shot information extraction. However, Ji et al. and Maynez et al. established that generative language models produce ungrounded hallucinations when generating factual tokens like numbers and dates. In legal compliance workflows, an ungrounded reference identifier invalidates the audit trail.</w:t>
      </w:r>
    </w:p>
    <w:p>
      <w:pPr>
        <w:pageBreakBefore/>
        <w:spacing w:after="100" w:before="300"/>
        <w:jc w:val="center"/>
      </w:pPr>
      <w:r>
        <w:rPr>
          <w:rFonts w:ascii="Times New Roman" w:cs="Times New Roman" w:eastAsia="Times New Roman" w:hAnsi="Times New Roman"/>
          <w:b/>
          <w:bCs/>
          <w:color w:val="000000"/>
          <w:sz w:val="36"/>
          <w:szCs w:val="36"/>
        </w:rPr>
        <w:t xml:space="preserve">CHAPTER 3</w:t>
      </w:r>
    </w:p>
    <w:p>
      <w:pPr>
        <w:spacing w:after="300" w:before="100"/>
        <w:jc w:val="center"/>
      </w:pPr>
      <w:r>
        <w:rPr>
          <w:rFonts w:ascii="Times New Roman" w:cs="Times New Roman" w:eastAsia="Times New Roman" w:hAnsi="Times New Roman"/>
          <w:b/>
          <w:bCs/>
          <w:color w:val="000000"/>
          <w:sz w:val="36"/>
          <w:szCs w:val="36"/>
        </w:rPr>
        <w:t xml:space="preserve">RESEARCH GAPS OF EXISTING METHODS</w:t>
      </w:r>
    </w:p>
    <w:p>
      <w:pPr>
        <w:spacing w:after="140" w:before="240"/>
        <w:jc w:val="left"/>
      </w:pPr>
      <w:r>
        <w:rPr>
          <w:rFonts w:ascii="Times New Roman" w:cs="Times New Roman" w:eastAsia="Times New Roman" w:hAnsi="Times New Roman"/>
          <w:b/>
          <w:bCs/>
          <w:color w:val="000000"/>
          <w:sz w:val="32"/>
          <w:szCs w:val="32"/>
        </w:rPr>
        <w:t xml:space="preserve">3.1 High Cost and Token Bottlenecks in End-to-End LLMs</w:t>
      </w:r>
    </w:p>
    <w:p>
      <w:pPr>
        <w:spacing w:after="100" w:before="100" w:line="360"/>
        <w:jc w:val="both"/>
      </w:pPr>
      <w:r>
        <w:rPr>
          <w:rFonts w:ascii="Times New Roman" w:cs="Times New Roman" w:eastAsia="Times New Roman" w:hAnsi="Times New Roman"/>
          <w:color w:val="000000"/>
          <w:sz w:val="24"/>
          <w:szCs w:val="24"/>
        </w:rPr>
        <w:t xml:space="preserve">Routing every raw incoming document into commercial language model APIs creates an operational bottleneck. Government circular collections contain over 80 percent irrelevant administrative notices. Ingesting these files directly burns token budgets on non-actionable text and leads to rate-limit drops during daily publication spikes.</w:t>
      </w:r>
    </w:p>
    <w:p>
      <w:pPr>
        <w:spacing w:after="140" w:before="240"/>
        <w:jc w:val="left"/>
      </w:pPr>
      <w:r>
        <w:rPr>
          <w:rFonts w:ascii="Times New Roman" w:cs="Times New Roman" w:eastAsia="Times New Roman" w:hAnsi="Times New Roman"/>
          <w:b/>
          <w:bCs/>
          <w:color w:val="000000"/>
          <w:sz w:val="32"/>
          <w:szCs w:val="32"/>
        </w:rPr>
        <w:t xml:space="preserve">3.2 Factual Hallucination and Category Drift</w:t>
      </w:r>
    </w:p>
    <w:p>
      <w:pPr>
        <w:spacing w:after="100" w:before="100" w:line="360"/>
        <w:jc w:val="both"/>
      </w:pPr>
      <w:r>
        <w:rPr>
          <w:rFonts w:ascii="Times New Roman" w:cs="Times New Roman" w:eastAsia="Times New Roman" w:hAnsi="Times New Roman"/>
          <w:color w:val="000000"/>
          <w:sz w:val="24"/>
          <w:szCs w:val="24"/>
        </w:rPr>
        <w:t xml:space="preserve">Without strict decoding constraints, language models generate arbitrary category tags outside standard organizational taxonomies. In our baseline evaluation, unconstrained prompting produced non-standard category strings in 14.2 percent of extractions. Generative models also subtly alter or synthesize alphanumeric reference codes in 6 to 12 percent of runs.</w:t>
      </w:r>
    </w:p>
    <w:p>
      <w:pPr>
        <w:spacing w:after="140" w:before="240"/>
        <w:jc w:val="left"/>
      </w:pPr>
      <w:r>
        <w:rPr>
          <w:rFonts w:ascii="Times New Roman" w:cs="Times New Roman" w:eastAsia="Times New Roman" w:hAnsi="Times New Roman"/>
          <w:b/>
          <w:bCs/>
          <w:color w:val="000000"/>
          <w:sz w:val="32"/>
          <w:szCs w:val="32"/>
        </w:rPr>
        <w:t xml:space="preserve">3.3 Scarcity of Annotated Public Procurement Datasets</w:t>
      </w:r>
    </w:p>
    <w:p>
      <w:pPr>
        <w:spacing w:after="100" w:before="100" w:line="360"/>
        <w:jc w:val="both"/>
      </w:pPr>
      <w:r>
        <w:rPr>
          <w:rFonts w:ascii="Times New Roman" w:cs="Times New Roman" w:eastAsia="Times New Roman" w:hAnsi="Times New Roman"/>
          <w:color w:val="000000"/>
          <w:sz w:val="24"/>
          <w:szCs w:val="24"/>
        </w:rPr>
        <w:t xml:space="preserve">Machine learning classifiers require labeled training sets. There is no open, annotated benchmark dataset for Indian public procurement circulars. Hand-labeling hundreds of multi-page policy manuals is labor intensive. Developing an offline, reproducible weak-supervision labeling pipeline is necessary to train triage models without manual annotation.</w:t>
      </w:r>
    </w:p>
    <w:p>
      <w:pPr>
        <w:pageBreakBefore/>
        <w:spacing w:after="100" w:before="300"/>
        <w:jc w:val="center"/>
      </w:pPr>
      <w:r>
        <w:rPr>
          <w:rFonts w:ascii="Times New Roman" w:cs="Times New Roman" w:eastAsia="Times New Roman" w:hAnsi="Times New Roman"/>
          <w:b/>
          <w:bCs/>
          <w:color w:val="000000"/>
          <w:sz w:val="36"/>
          <w:szCs w:val="36"/>
        </w:rPr>
        <w:t xml:space="preserve">CHAPTER 4</w:t>
      </w:r>
    </w:p>
    <w:p>
      <w:pPr>
        <w:spacing w:after="300" w:before="100"/>
        <w:jc w:val="center"/>
      </w:pPr>
      <w:r>
        <w:rPr>
          <w:rFonts w:ascii="Times New Roman" w:cs="Times New Roman" w:eastAsia="Times New Roman" w:hAnsi="Times New Roman"/>
          <w:b/>
          <w:bCs/>
          <w:color w:val="000000"/>
          <w:sz w:val="36"/>
          <w:szCs w:val="36"/>
        </w:rPr>
        <w:t xml:space="preserve">PROPOSED METHODOLOGY</w:t>
      </w:r>
    </w:p>
    <w:p>
      <w:pPr>
        <w:spacing w:after="140" w:before="240"/>
        <w:jc w:val="left"/>
      </w:pPr>
      <w:r>
        <w:rPr>
          <w:rFonts w:ascii="Times New Roman" w:cs="Times New Roman" w:eastAsia="Times New Roman" w:hAnsi="Times New Roman"/>
          <w:b/>
          <w:bCs/>
          <w:color w:val="000000"/>
          <w:sz w:val="32"/>
          <w:szCs w:val="32"/>
        </w:rPr>
        <w:t xml:space="preserve">4.1 Document Ingestion and Scanned File Detection</w:t>
      </w:r>
    </w:p>
    <w:p>
      <w:pPr>
        <w:spacing w:after="100" w:before="100" w:line="360"/>
        <w:jc w:val="both"/>
      </w:pPr>
      <w:r>
        <w:rPr>
          <w:rFonts w:ascii="Times New Roman" w:cs="Times New Roman" w:eastAsia="Times New Roman" w:hAnsi="Times New Roman"/>
          <w:color w:val="000000"/>
          <w:sz w:val="24"/>
          <w:szCs w:val="24"/>
        </w:rPr>
        <w:t xml:space="preserve">Incoming PDF documents are accepted through an upload endpoint and parsed using pdfplumber. To prevent empty string vectors from reaching the machine learning pipeline, a character volume check is executed across all pages of document D:</w:t>
      </w:r>
    </w:p>
    <w:p>
      <w:pPr>
        <w:spacing w:after="100" w:before="100" w:line="360"/>
        <w:jc w:val="both"/>
      </w:pPr>
      <w:r>
        <w:rPr>
          <w:rFonts w:ascii="Times New Roman" w:cs="Times New Roman" w:eastAsia="Times New Roman" w:hAnsi="Times New Roman"/>
          <w:color w:val="000000"/>
          <w:sz w:val="24"/>
          <w:szCs w:val="24"/>
        </w:rPr>
        <w:t xml:space="preserve">valid(D) = True if character_count &gt;= 50, otherwise False.</w:t>
      </w:r>
    </w:p>
    <w:p>
      <w:pPr>
        <w:spacing w:after="100" w:before="100" w:line="360"/>
        <w:jc w:val="both"/>
      </w:pPr>
      <w:r>
        <w:rPr>
          <w:rFonts w:ascii="Times New Roman" w:cs="Times New Roman" w:eastAsia="Times New Roman" w:hAnsi="Times New Roman"/>
          <w:color w:val="000000"/>
          <w:sz w:val="24"/>
          <w:szCs w:val="24"/>
        </w:rPr>
        <w:t xml:space="preserve">If the extracted character count is below 50, a ScannedDocumentError is raised. This isolates image-based PDFs for upstream optical character recognition.</w:t>
      </w:r>
    </w:p>
    <w:p>
      <w:pPr>
        <w:spacing w:after="140" w:before="240"/>
        <w:jc w:val="left"/>
      </w:pPr>
      <w:r>
        <w:rPr>
          <w:rFonts w:ascii="Times New Roman" w:cs="Times New Roman" w:eastAsia="Times New Roman" w:hAnsi="Times New Roman"/>
          <w:b/>
          <w:bCs/>
          <w:color w:val="000000"/>
          <w:sz w:val="32"/>
          <w:szCs w:val="32"/>
        </w:rPr>
        <w:t xml:space="preserve">4.2 Stage 1: Linear Pre-Filtering with Sublinear TF-IDF</w:t>
      </w:r>
    </w:p>
    <w:p>
      <w:pPr>
        <w:spacing w:after="100" w:before="100" w:line="360"/>
        <w:jc w:val="both"/>
      </w:pPr>
      <w:r>
        <w:rPr>
          <w:rFonts w:ascii="Times New Roman" w:cs="Times New Roman" w:eastAsia="Times New Roman" w:hAnsi="Times New Roman"/>
          <w:color w:val="000000"/>
          <w:sz w:val="24"/>
          <w:szCs w:val="24"/>
        </w:rPr>
        <w:t xml:space="preserve">Text extracted from valid digital PDFs is converted into unigram and bigram tokens with sublinear term-frequency scaling. The sublinear term frequency is calculated as:</w:t>
      </w:r>
    </w:p>
    <w:p>
      <w:pPr>
        <w:spacing w:after="100" w:before="100" w:line="360"/>
        <w:jc w:val="both"/>
      </w:pPr>
      <w:r>
        <w:rPr>
          <w:rFonts w:ascii="Times New Roman" w:cs="Times New Roman" w:eastAsia="Times New Roman" w:hAnsi="Times New Roman"/>
          <w:color w:val="000000"/>
          <w:sz w:val="24"/>
          <w:szCs w:val="24"/>
        </w:rPr>
        <w:t xml:space="preserve">tf_sub(t, d) = 1 + ln(tf(t, d)) for tf(t, d) &gt; 0, otherwise 0.</w:t>
      </w:r>
    </w:p>
    <w:p>
      <w:pPr>
        <w:spacing w:after="100" w:before="100" w:line="360"/>
        <w:jc w:val="both"/>
      </w:pPr>
      <w:r>
        <w:rPr>
          <w:rFonts w:ascii="Times New Roman" w:cs="Times New Roman" w:eastAsia="Times New Roman" w:hAnsi="Times New Roman"/>
          <w:color w:val="000000"/>
          <w:sz w:val="24"/>
          <w:szCs w:val="24"/>
        </w:rPr>
        <w:t xml:space="preserve">Inverse document frequency is calculated across the passage corpus, and vectors are bounded at a vocabulary of 10,000 features with Euclidean L2 normalization. The classification step uses a Logistic Regression model trained with balanced class weights:</w:t>
      </w:r>
    </w:p>
    <w:p>
      <w:pPr>
        <w:spacing w:after="100" w:before="100" w:line="360"/>
        <w:jc w:val="both"/>
      </w:pPr>
      <w:r>
        <w:rPr>
          <w:rFonts w:ascii="Times New Roman" w:cs="Times New Roman" w:eastAsia="Times New Roman" w:hAnsi="Times New Roman"/>
          <w:color w:val="000000"/>
          <w:sz w:val="24"/>
          <w:szCs w:val="24"/>
        </w:rPr>
        <w:t xml:space="preserve">w_c = M / (2 * M_c)</w:t>
      </w:r>
    </w:p>
    <w:p>
      <w:pPr>
        <w:spacing w:after="100" w:before="100" w:line="360"/>
        <w:jc w:val="both"/>
      </w:pPr>
      <w:r>
        <w:rPr>
          <w:rFonts w:ascii="Times New Roman" w:cs="Times New Roman" w:eastAsia="Times New Roman" w:hAnsi="Times New Roman"/>
          <w:color w:val="000000"/>
          <w:sz w:val="24"/>
          <w:szCs w:val="24"/>
        </w:rPr>
        <w:t xml:space="preserve">where M is the total training count and M_c is the count in class c. The probability of procurement relevance P(y=1 | x) is computed via the sigmoid function. Documents with P &lt; 0.5 short-circuit the pipeline immediately.</w:t>
      </w:r>
    </w:p>
    <w:p>
      <w:pPr>
        <w:spacing w:after="140" w:before="240"/>
        <w:jc w:val="left"/>
      </w:pPr>
      <w:r>
        <w:rPr>
          <w:rFonts w:ascii="Times New Roman" w:cs="Times New Roman" w:eastAsia="Times New Roman" w:hAnsi="Times New Roman"/>
          <w:b/>
          <w:bCs/>
          <w:color w:val="000000"/>
          <w:sz w:val="32"/>
          <w:szCs w:val="32"/>
        </w:rPr>
        <w:t xml:space="preserve">4.3 Stage 2: Constrained Metadata Extraction</w:t>
      </w:r>
    </w:p>
    <w:p>
      <w:pPr>
        <w:spacing w:after="100" w:before="100" w:line="360"/>
        <w:jc w:val="both"/>
      </w:pPr>
      <w:r>
        <w:rPr>
          <w:rFonts w:ascii="Times New Roman" w:cs="Times New Roman" w:eastAsia="Times New Roman" w:hAnsi="Times New Roman"/>
          <w:color w:val="000000"/>
          <w:sz w:val="24"/>
          <w:szCs w:val="24"/>
        </w:rPr>
        <w:t xml:space="preserve">Relevant documents proceed to an instruction-tuned language model accessed through a failover provider pool. Because government circular headers contain title, authority, date, and reference codes on the opening pages, a context limit of 10,000 characters is enforced. The model runs at temperature zero (tau = 0.0) and outputs a JSON object containing seven fields. Categories are restricted to a closed taxonomy enforced by a Pydantic validator:</w:t>
      </w:r>
    </w:p>
    <w:p>
      <w:pPr>
        <w:spacing w:after="60" w:before="120"/>
        <w:jc w:val="center"/>
      </w:pPr>
      <w:r>
        <w:rPr>
          <w:rFonts w:ascii="Times New Roman" w:cs="Times New Roman" w:eastAsia="Times New Roman" w:hAnsi="Times New Roman"/>
          <w:b/>
          <w:bCs/>
          <w:color w:val="000000"/>
          <w:sz w:val="22"/>
          <w:szCs w:val="22"/>
        </w:rPr>
        <w:t xml:space="preserve">Table 4.1: Closed Category Taxonomy 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Category Key</w:t>
            </w:r>
          </w:p>
        </w:tc>
        <w:tc>
          <w:tcPr>
            <w:tcW w:type="pct" w:w="35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Description and Scope</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e-procurement</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Guidelines for electronic tendering and portal submissions</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tendering</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Bidding procedures, bid security, and tender document notices</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vendor-eligibility</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Criteria for technical qualifications, turnover, and blacklisting</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penalty</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Liquidated damages, contract breach, and forfeiture of securities</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GeM</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Directives specific to the Government e-Marketplace platform</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threshold-limits</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Monetary limits for limited vs open tenders and financial powers</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other</w:t>
            </w:r>
          </w:p>
        </w:tc>
        <w:tc>
          <w:tcPr>
            <w:tcW w:type="pct" w:w="3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Fallback for procurement circulars outside these specific categories</w:t>
            </w:r>
          </w:p>
        </w:tc>
      </w:tr>
    </w:tbl>
    <w:p>
      <w:pPr>
        <w:spacing w:after="140" w:before="240"/>
        <w:jc w:val="left"/>
      </w:pPr>
      <w:r>
        <w:rPr>
          <w:rFonts w:ascii="Times New Roman" w:cs="Times New Roman" w:eastAsia="Times New Roman" w:hAnsi="Times New Roman"/>
          <w:b/>
          <w:bCs/>
          <w:color w:val="000000"/>
          <w:sz w:val="32"/>
          <w:szCs w:val="32"/>
        </w:rPr>
        <w:t xml:space="preserve">4.4 Stage 3: Deterministic Verbatim Verification</w:t>
      </w:r>
    </w:p>
    <w:p>
      <w:pPr>
        <w:spacing w:after="100" w:before="100" w:line="360"/>
        <w:jc w:val="both"/>
      </w:pPr>
      <w:r>
        <w:rPr>
          <w:rFonts w:ascii="Times New Roman" w:cs="Times New Roman" w:eastAsia="Times New Roman" w:hAnsi="Times New Roman"/>
          <w:color w:val="000000"/>
          <w:sz w:val="24"/>
          <w:szCs w:val="24"/>
        </w:rPr>
        <w:t xml:space="preserve">Extracted factual fields (title, date, issuing_authority, om_number, supersedes) are checked against the normalized source text T. The normalization function phi(s) converts characters to lowercase and collapses multiple spaces into single spaces. A field f is verified if phi(v_f) is a substring of phi(T). Discrepancies are appended to verification_flags without altering the extracted text, keeping the audit record intact.</w:t>
      </w:r>
    </w:p>
    <w:p>
      <w:pPr>
        <w:spacing w:after="140" w:before="240"/>
        <w:jc w:val="left"/>
      </w:pPr>
      <w:r>
        <w:rPr>
          <w:rFonts w:ascii="Times New Roman" w:cs="Times New Roman" w:eastAsia="Times New Roman" w:hAnsi="Times New Roman"/>
          <w:b/>
          <w:bCs/>
          <w:color w:val="000000"/>
          <w:sz w:val="32"/>
          <w:szCs w:val="32"/>
        </w:rPr>
        <w:t xml:space="preserve">4.5 Weak Supervision Dataset Construction</w:t>
      </w:r>
    </w:p>
    <w:p>
      <w:pPr>
        <w:spacing w:after="100" w:before="100" w:line="360"/>
        <w:jc w:val="both"/>
      </w:pPr>
      <w:r>
        <w:rPr>
          <w:rFonts w:ascii="Times New Roman" w:cs="Times New Roman" w:eastAsia="Times New Roman" w:hAnsi="Times New Roman"/>
          <w:color w:val="000000"/>
          <w:sz w:val="24"/>
          <w:szCs w:val="24"/>
        </w:rPr>
        <w:t xml:space="preserve">A training dataset was constructed from 50 primary government circulars (18 from the Department of Expenditure and 32 general administrative notices from UGC and DoPT). Documents were segmented into paragraph-aware chunks bounded at 1,500 characters (minimum 200 characters). Each chunk was labeled using an ensemble of deterministic labeling functions: a procurement keyword lexicon, an administrative negative lexicon, threshold regular expressions, and source domain priors. A human spot-check validated the label quality before writing the final dataset.</w:t>
      </w:r>
    </w:p>
    <w:p>
      <w:pPr>
        <w:pageBreakBefore/>
        <w:spacing w:after="100" w:before="300"/>
        <w:jc w:val="center"/>
      </w:pPr>
      <w:r>
        <w:rPr>
          <w:rFonts w:ascii="Times New Roman" w:cs="Times New Roman" w:eastAsia="Times New Roman" w:hAnsi="Times New Roman"/>
          <w:b/>
          <w:bCs/>
          <w:color w:val="000000"/>
          <w:sz w:val="36"/>
          <w:szCs w:val="36"/>
        </w:rPr>
        <w:t xml:space="preserve">CHAPTER 5</w:t>
      </w:r>
    </w:p>
    <w:p>
      <w:pPr>
        <w:spacing w:after="300" w:before="100"/>
        <w:jc w:val="center"/>
      </w:pPr>
      <w:r>
        <w:rPr>
          <w:rFonts w:ascii="Times New Roman" w:cs="Times New Roman" w:eastAsia="Times New Roman" w:hAnsi="Times New Roman"/>
          <w:b/>
          <w:bCs/>
          <w:color w:val="000000"/>
          <w:sz w:val="36"/>
          <w:szCs w:val="36"/>
        </w:rPr>
        <w:t xml:space="preserve">OBJECTIVES</w:t>
      </w:r>
    </w:p>
    <w:p>
      <w:pPr>
        <w:spacing w:after="100" w:before="100" w:line="360"/>
        <w:jc w:val="both"/>
      </w:pPr>
      <w:r>
        <w:rPr>
          <w:rFonts w:ascii="Times New Roman" w:cs="Times New Roman" w:eastAsia="Times New Roman" w:hAnsi="Times New Roman"/>
          <w:color w:val="000000"/>
          <w:sz w:val="24"/>
          <w:szCs w:val="24"/>
        </w:rPr>
        <w:t xml:space="preserve">The specific technical objectives of the DocSort system are:</w:t>
      </w:r>
    </w:p>
    <w:p>
      <w:pPr>
        <w:spacing w:after="100" w:before="100" w:line="360"/>
        <w:jc w:val="both"/>
      </w:pPr>
      <w:r>
        <w:rPr>
          <w:rFonts w:ascii="Times New Roman" w:cs="Times New Roman" w:eastAsia="Times New Roman" w:hAnsi="Times New Roman"/>
          <w:color w:val="000000"/>
          <w:sz w:val="24"/>
          <w:szCs w:val="24"/>
        </w:rPr>
        <w:t xml:space="preserve">1. Design and deploy an early linear pre-filter that achieves sub-4-millisecond CPU classification latency to triage incoming circulars.</w:t>
      </w:r>
    </w:p>
    <w:p>
      <w:pPr>
        <w:spacing w:after="100" w:before="100" w:line="360"/>
        <w:jc w:val="both"/>
      </w:pPr>
      <w:r>
        <w:rPr>
          <w:rFonts w:ascii="Times New Roman" w:cs="Times New Roman" w:eastAsia="Times New Roman" w:hAnsi="Times New Roman"/>
          <w:color w:val="000000"/>
          <w:sz w:val="24"/>
          <w:szCs w:val="24"/>
        </w:rPr>
        <w:t xml:space="preserve">2. Eliminate over 50 percent of language model invocations and token costs on mixed real-world document streams.</w:t>
      </w:r>
    </w:p>
    <w:p>
      <w:pPr>
        <w:spacing w:after="100" w:before="100" w:line="360"/>
        <w:jc w:val="both"/>
      </w:pPr>
      <w:r>
        <w:rPr>
          <w:rFonts w:ascii="Times New Roman" w:cs="Times New Roman" w:eastAsia="Times New Roman" w:hAnsi="Times New Roman"/>
          <w:color w:val="000000"/>
          <w:sz w:val="24"/>
          <w:szCs w:val="24"/>
        </w:rPr>
        <w:t xml:space="preserve">3. Enforce 100 percent compliance with a defined seven-class category taxonomy using code-level Pydantic validators.</w:t>
      </w:r>
    </w:p>
    <w:p>
      <w:pPr>
        <w:spacing w:after="100" w:before="100" w:line="360"/>
        <w:jc w:val="both"/>
      </w:pPr>
      <w:r>
        <w:rPr>
          <w:rFonts w:ascii="Times New Roman" w:cs="Times New Roman" w:eastAsia="Times New Roman" w:hAnsi="Times New Roman"/>
          <w:color w:val="000000"/>
          <w:sz w:val="24"/>
          <w:szCs w:val="24"/>
        </w:rPr>
        <w:t xml:space="preserve">4. Implement a deterministic verbatim verification layer that audits extracted factual metadata against source text and records audit flags.</w:t>
      </w:r>
    </w:p>
    <w:p>
      <w:pPr>
        <w:spacing w:after="100" w:before="100" w:line="360"/>
        <w:jc w:val="both"/>
      </w:pPr>
      <w:r>
        <w:rPr>
          <w:rFonts w:ascii="Times New Roman" w:cs="Times New Roman" w:eastAsia="Times New Roman" w:hAnsi="Times New Roman"/>
          <w:color w:val="000000"/>
          <w:sz w:val="24"/>
          <w:szCs w:val="24"/>
        </w:rPr>
        <w:t xml:space="preserve">5. Construct a reproducible, offline weak-supervision data construction pipeline for public procurement circulars without manual annotation costs.</w:t>
      </w:r>
    </w:p>
    <w:p>
      <w:pPr>
        <w:pageBreakBefore/>
        <w:spacing w:after="100" w:before="300"/>
        <w:jc w:val="center"/>
      </w:pPr>
      <w:r>
        <w:rPr>
          <w:rFonts w:ascii="Times New Roman" w:cs="Times New Roman" w:eastAsia="Times New Roman" w:hAnsi="Times New Roman"/>
          <w:b/>
          <w:bCs/>
          <w:color w:val="000000"/>
          <w:sz w:val="36"/>
          <w:szCs w:val="36"/>
        </w:rPr>
        <w:t xml:space="preserve">CHAPTER 6</w:t>
      </w:r>
    </w:p>
    <w:p>
      <w:pPr>
        <w:spacing w:after="300" w:before="100"/>
        <w:jc w:val="center"/>
      </w:pPr>
      <w:r>
        <w:rPr>
          <w:rFonts w:ascii="Times New Roman" w:cs="Times New Roman" w:eastAsia="Times New Roman" w:hAnsi="Times New Roman"/>
          <w:b/>
          <w:bCs/>
          <w:color w:val="000000"/>
          <w:sz w:val="36"/>
          <w:szCs w:val="36"/>
        </w:rPr>
        <w:t xml:space="preserve">SYSTEM DESIGN AND IMPLEMENTATION</w:t>
      </w:r>
    </w:p>
    <w:p>
      <w:pPr>
        <w:spacing w:after="140" w:before="240"/>
        <w:jc w:val="left"/>
      </w:pPr>
      <w:r>
        <w:rPr>
          <w:rFonts w:ascii="Times New Roman" w:cs="Times New Roman" w:eastAsia="Times New Roman" w:hAnsi="Times New Roman"/>
          <w:b/>
          <w:bCs/>
          <w:color w:val="000000"/>
          <w:sz w:val="32"/>
          <w:szCs w:val="32"/>
        </w:rPr>
        <w:t xml:space="preserve">6.1 Architecture and Component Communication</w:t>
      </w:r>
    </w:p>
    <w:p>
      <w:pPr>
        <w:spacing w:after="100" w:before="100" w:line="360"/>
        <w:jc w:val="both"/>
      </w:pPr>
      <w:r>
        <w:rPr>
          <w:rFonts w:ascii="Times New Roman" w:cs="Times New Roman" w:eastAsia="Times New Roman" w:hAnsi="Times New Roman"/>
          <w:color w:val="000000"/>
          <w:sz w:val="24"/>
          <w:szCs w:val="24"/>
        </w:rPr>
        <w:t xml:space="preserve">DocSort is implemented as a decoupled, multi-service system comprising three layers: a React 18 user interface, a Go microservice backend, and a Python machine learning engine. The Go backend acts as the central coordinator, accepting document uploads, managing disk storage, initiating asynchronous requests to the Python engine over HTTP, and persisting records into a database.</w:t>
      </w:r>
    </w:p>
    <w:p>
      <w:pPr>
        <w:spacing w:after="140" w:before="240"/>
        <w:jc w:val="left"/>
      </w:pPr>
      <w:r>
        <w:rPr>
          <w:rFonts w:ascii="Times New Roman" w:cs="Times New Roman" w:eastAsia="Times New Roman" w:hAnsi="Times New Roman"/>
          <w:b/>
          <w:bCs/>
          <w:color w:val="000000"/>
          <w:sz w:val="32"/>
          <w:szCs w:val="32"/>
        </w:rPr>
        <w:t xml:space="preserve">6.2 Python Machine Learning Engine Module</w:t>
      </w:r>
    </w:p>
    <w:p>
      <w:pPr>
        <w:spacing w:after="100" w:before="100" w:line="360"/>
        <w:jc w:val="both"/>
      </w:pPr>
      <w:r>
        <w:rPr>
          <w:rFonts w:ascii="Times New Roman" w:cs="Times New Roman" w:eastAsia="Times New Roman" w:hAnsi="Times New Roman"/>
          <w:color w:val="000000"/>
          <w:sz w:val="24"/>
          <w:szCs w:val="24"/>
        </w:rPr>
        <w:t xml:space="preserve">The Python engine is built using FastAPI and Python 3.12. It consists of six core modules:</w:t>
      </w:r>
    </w:p>
    <w:p>
      <w:pPr>
        <w:spacing w:after="100" w:before="100" w:line="360"/>
        <w:jc w:val="both"/>
      </w:pPr>
      <w:r>
        <w:rPr>
          <w:rFonts w:ascii="Times New Roman" w:cs="Times New Roman" w:eastAsia="Times New Roman" w:hAnsi="Times New Roman"/>
          <w:color w:val="000000"/>
          <w:sz w:val="24"/>
          <w:szCs w:val="24"/>
        </w:rPr>
        <w:t xml:space="preserve">1. extract.py: PDF text extraction using pdfplumber with byte stream handling and the 50-character scanned document guard.</w:t>
      </w:r>
    </w:p>
    <w:p>
      <w:pPr>
        <w:spacing w:after="100" w:before="100" w:line="360"/>
        <w:jc w:val="both"/>
      </w:pPr>
      <w:r>
        <w:rPr>
          <w:rFonts w:ascii="Times New Roman" w:cs="Times New Roman" w:eastAsia="Times New Roman" w:hAnsi="Times New Roman"/>
          <w:color w:val="000000"/>
          <w:sz w:val="24"/>
          <w:szCs w:val="24"/>
        </w:rPr>
        <w:t xml:space="preserve">2. classify.py: Lazy-loaded TF-IDF vectorizer and Logistic Regression inference wrapper that chunks long documents and aggregates passage probabilities.</w:t>
      </w:r>
    </w:p>
    <w:p>
      <w:pPr>
        <w:spacing w:after="100" w:before="100" w:line="360"/>
        <w:jc w:val="both"/>
      </w:pPr>
      <w:r>
        <w:rPr>
          <w:rFonts w:ascii="Times New Roman" w:cs="Times New Roman" w:eastAsia="Times New Roman" w:hAnsi="Times New Roman"/>
          <w:color w:val="000000"/>
          <w:sz w:val="24"/>
          <w:szCs w:val="24"/>
        </w:rPr>
        <w:t xml:space="preserve">3. providers.py: Failover registry managing LLM endpoints supporting OpenAI and Anthropic compatible wire protocols.</w:t>
      </w:r>
    </w:p>
    <w:p>
      <w:pPr>
        <w:spacing w:after="100" w:before="100" w:line="360"/>
        <w:jc w:val="both"/>
      </w:pPr>
      <w:r>
        <w:rPr>
          <w:rFonts w:ascii="Times New Roman" w:cs="Times New Roman" w:eastAsia="Times New Roman" w:hAnsi="Times New Roman"/>
          <w:color w:val="000000"/>
          <w:sz w:val="24"/>
          <w:szCs w:val="24"/>
        </w:rPr>
        <w:t xml:space="preserve">4. llm_extract.py: Two-pass structured metadata extraction enforcing the closed taxonomy through Pydantic validators.</w:t>
      </w:r>
    </w:p>
    <w:p>
      <w:pPr>
        <w:spacing w:after="100" w:before="100" w:line="360"/>
        <w:jc w:val="both"/>
      </w:pPr>
      <w:r>
        <w:rPr>
          <w:rFonts w:ascii="Times New Roman" w:cs="Times New Roman" w:eastAsia="Times New Roman" w:hAnsi="Times New Roman"/>
          <w:color w:val="000000"/>
          <w:sz w:val="24"/>
          <w:szCs w:val="24"/>
        </w:rPr>
        <w:t xml:space="preserve">5. verify.py: String normalization and substring search checking extracted factual values against document text.</w:t>
      </w:r>
    </w:p>
    <w:p>
      <w:pPr>
        <w:spacing w:after="100" w:before="100" w:line="360"/>
        <w:jc w:val="both"/>
      </w:pPr>
      <w:r>
        <w:rPr>
          <w:rFonts w:ascii="Times New Roman" w:cs="Times New Roman" w:eastAsia="Times New Roman" w:hAnsi="Times New Roman"/>
          <w:color w:val="000000"/>
          <w:sz w:val="24"/>
          <w:szCs w:val="24"/>
        </w:rPr>
        <w:t xml:space="preserve">6. pipeline.py: Master orchestrator coordinating extraction, triage, structured extraction, and verification.</w:t>
      </w:r>
    </w:p>
    <w:p>
      <w:pPr>
        <w:spacing w:after="140" w:before="240"/>
        <w:jc w:val="left"/>
      </w:pPr>
      <w:r>
        <w:rPr>
          <w:rFonts w:ascii="Times New Roman" w:cs="Times New Roman" w:eastAsia="Times New Roman" w:hAnsi="Times New Roman"/>
          <w:b/>
          <w:bCs/>
          <w:color w:val="000000"/>
          <w:sz w:val="32"/>
          <w:szCs w:val="32"/>
        </w:rPr>
        <w:t xml:space="preserve">6.3 Go Microservice Backend Module</w:t>
      </w:r>
    </w:p>
    <w:p>
      <w:pPr>
        <w:spacing w:after="100" w:before="100" w:line="360"/>
        <w:jc w:val="both"/>
      </w:pPr>
      <w:r>
        <w:rPr>
          <w:rFonts w:ascii="Times New Roman" w:cs="Times New Roman" w:eastAsia="Times New Roman" w:hAnsi="Times New Roman"/>
          <w:color w:val="000000"/>
          <w:sz w:val="24"/>
          <w:szCs w:val="24"/>
        </w:rPr>
        <w:t xml:space="preserve">The backend service is written in Go using the Gin web framework. It exposes endpoints for uploading documents, querying processing statuses, and fetching compliance records. An asynchronous worker model is used: upon upload, the backend assigns a UUID, saves the PDF to disk, creates an initial database record with status pending, and calls the Python engine asynchronously. This keeps client HTTP connections responsive.</w:t>
      </w:r>
    </w:p>
    <w:p>
      <w:pPr>
        <w:spacing w:after="140" w:before="240"/>
        <w:jc w:val="left"/>
      </w:pPr>
      <w:r>
        <w:rPr>
          <w:rFonts w:ascii="Times New Roman" w:cs="Times New Roman" w:eastAsia="Times New Roman" w:hAnsi="Times New Roman"/>
          <w:b/>
          <w:bCs/>
          <w:color w:val="000000"/>
          <w:sz w:val="32"/>
          <w:szCs w:val="32"/>
        </w:rPr>
        <w:t xml:space="preserve">6.4 React User Interface Module</w:t>
      </w:r>
    </w:p>
    <w:p>
      <w:pPr>
        <w:spacing w:after="100" w:before="100" w:line="360"/>
        <w:jc w:val="both"/>
      </w:pPr>
      <w:r>
        <w:rPr>
          <w:rFonts w:ascii="Times New Roman" w:cs="Times New Roman" w:eastAsia="Times New Roman" w:hAnsi="Times New Roman"/>
          <w:color w:val="000000"/>
          <w:sz w:val="24"/>
          <w:szCs w:val="24"/>
        </w:rPr>
        <w:t xml:space="preserve">The frontend is built with React 18, Vite, and TypeScript. It features a drag-and-drop file upload zone, an auto-refreshing document registry table, category filter chips, and a slide-out drawer displaying verified metadata alongside flagged discrepancies and JSON export utilities.</w:t>
      </w:r>
    </w:p>
    <w:p>
      <w:pPr>
        <w:spacing w:after="140" w:before="240"/>
        <w:jc w:val="left"/>
      </w:pPr>
      <w:r>
        <w:rPr>
          <w:rFonts w:ascii="Times New Roman" w:cs="Times New Roman" w:eastAsia="Times New Roman" w:hAnsi="Times New Roman"/>
          <w:b/>
          <w:bCs/>
          <w:color w:val="000000"/>
          <w:sz w:val="32"/>
          <w:szCs w:val="32"/>
        </w:rPr>
        <w:t xml:space="preserve">6.5 Database Schema and Storage</w:t>
      </w:r>
    </w:p>
    <w:p>
      <w:pPr>
        <w:spacing w:after="100" w:before="100" w:line="360"/>
        <w:jc w:val="both"/>
      </w:pPr>
      <w:r>
        <w:rPr>
          <w:rFonts w:ascii="Times New Roman" w:cs="Times New Roman" w:eastAsia="Times New Roman" w:hAnsi="Times New Roman"/>
          <w:color w:val="000000"/>
          <w:sz w:val="24"/>
          <w:szCs w:val="24"/>
        </w:rPr>
        <w:t xml:space="preserve">The relational database schema records document ID, original filename, storage path, status (processing, processed, not_relevant, error), relevance confidence score, extracted JSON metadata, array of verification flags, and processing timestamps.</w:t>
      </w:r>
    </w:p>
    <w:p>
      <w:pPr>
        <w:pageBreakBefore/>
        <w:spacing w:after="100" w:before="300"/>
        <w:jc w:val="center"/>
      </w:pPr>
      <w:r>
        <w:rPr>
          <w:rFonts w:ascii="Times New Roman" w:cs="Times New Roman" w:eastAsia="Times New Roman" w:hAnsi="Times New Roman"/>
          <w:b/>
          <w:bCs/>
          <w:color w:val="000000"/>
          <w:sz w:val="36"/>
          <w:szCs w:val="36"/>
        </w:rPr>
        <w:t xml:space="preserve">CHAPTER 7</w:t>
      </w:r>
    </w:p>
    <w:p>
      <w:pPr>
        <w:spacing w:after="300" w:before="100"/>
        <w:jc w:val="center"/>
      </w:pPr>
      <w:r>
        <w:rPr>
          <w:rFonts w:ascii="Times New Roman" w:cs="Times New Roman" w:eastAsia="Times New Roman" w:hAnsi="Times New Roman"/>
          <w:b/>
          <w:bCs/>
          <w:color w:val="000000"/>
          <w:sz w:val="36"/>
          <w:szCs w:val="36"/>
        </w:rPr>
        <w:t xml:space="preserve">TIMELINE FOR EXECUTION OF PROJECT (GANTT CHART)</w:t>
      </w:r>
    </w:p>
    <w:p>
      <w:pPr>
        <w:spacing w:after="60" w:before="120"/>
        <w:jc w:val="center"/>
      </w:pPr>
      <w:r>
        <w:rPr>
          <w:rFonts w:ascii="Times New Roman" w:cs="Times New Roman" w:eastAsia="Times New Roman" w:hAnsi="Times New Roman"/>
          <w:b/>
          <w:bCs/>
          <w:color w:val="000000"/>
          <w:sz w:val="22"/>
          <w:szCs w:val="22"/>
        </w:rPr>
        <w:t xml:space="preserve">Table 7.1: Project Execution Schedule and Milestones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4964"/>
        <w:gridCol w:w="1354"/>
        <w:gridCol w:w="1354"/>
      </w:tblGrid>
      <w:tr>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Phase</w:t>
            </w:r>
          </w:p>
        </w:tc>
        <w:tc>
          <w:tcPr>
            <w:tcW w:type="pct" w:w="2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Milestone / Task Name</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Duration</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Status</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1</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Literature review, regulatory study (GFR/CVC), and problem definition</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1-3</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2</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Document acquisition from DoE, UGC, and DoPT portals</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4-5</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3</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Paragraph chunking and weak supervision labeling ensemble</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6-7</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4</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1 TF-IDF + Logistic Regression training and evaluation</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8-9</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5</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2 LLM prompt design and Pydantic schema validation</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10-11</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6</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3 Verbatim verification and audit flagging module</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 12</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7</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Go backend microservice and database integration</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13-14</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8</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React frontend dashboard development and API binding</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15-16</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r>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Phase 9</w:t>
            </w:r>
          </w:p>
        </w:tc>
        <w:tc>
          <w:tcPr>
            <w:tcW w:type="pct" w:w="2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End-to-end benchmarking, latency analysis, and report writing</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Weeks 17-18</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Completed</w:t>
            </w:r>
          </w:p>
        </w:tc>
      </w:tr>
    </w:tbl>
    <w:p>
      <w:pPr>
        <w:pageBreakBefore/>
        <w:spacing w:after="100" w:before="300"/>
        <w:jc w:val="center"/>
      </w:pPr>
      <w:r>
        <w:rPr>
          <w:rFonts w:ascii="Times New Roman" w:cs="Times New Roman" w:eastAsia="Times New Roman" w:hAnsi="Times New Roman"/>
          <w:b/>
          <w:bCs/>
          <w:color w:val="000000"/>
          <w:sz w:val="36"/>
          <w:szCs w:val="36"/>
        </w:rPr>
        <w:t xml:space="preserve">CHAPTER 8</w:t>
      </w:r>
    </w:p>
    <w:p>
      <w:pPr>
        <w:spacing w:after="300" w:before="100"/>
        <w:jc w:val="center"/>
      </w:pPr>
      <w:r>
        <w:rPr>
          <w:rFonts w:ascii="Times New Roman" w:cs="Times New Roman" w:eastAsia="Times New Roman" w:hAnsi="Times New Roman"/>
          <w:b/>
          <w:bCs/>
          <w:color w:val="000000"/>
          <w:sz w:val="36"/>
          <w:szCs w:val="36"/>
        </w:rPr>
        <w:t xml:space="preserve">OUTCOMES</w:t>
      </w:r>
    </w:p>
    <w:p>
      <w:pPr>
        <w:spacing w:after="100" w:before="100" w:line="360"/>
        <w:jc w:val="both"/>
      </w:pPr>
      <w:r>
        <w:rPr>
          <w:rFonts w:ascii="Times New Roman" w:cs="Times New Roman" w:eastAsia="Times New Roman" w:hAnsi="Times New Roman"/>
          <w:color w:val="000000"/>
          <w:sz w:val="24"/>
          <w:szCs w:val="24"/>
        </w:rPr>
        <w:t xml:space="preserve">The outcomes of this project include:</w:t>
      </w:r>
    </w:p>
    <w:p>
      <w:pPr>
        <w:spacing w:after="100" w:before="100" w:line="360"/>
        <w:jc w:val="both"/>
      </w:pPr>
      <w:r>
        <w:rPr>
          <w:rFonts w:ascii="Times New Roman" w:cs="Times New Roman" w:eastAsia="Times New Roman" w:hAnsi="Times New Roman"/>
          <w:color w:val="000000"/>
          <w:sz w:val="24"/>
          <w:szCs w:val="24"/>
        </w:rPr>
        <w:t xml:space="preserve">1. A functional full-stack software application running locally across ports 3000 (React), 8080 (Go API), and 8000 (FastAPI Engine).</w:t>
      </w:r>
    </w:p>
    <w:p>
      <w:pPr>
        <w:spacing w:after="100" w:before="100" w:line="360"/>
        <w:jc w:val="both"/>
      </w:pPr>
      <w:r>
        <w:rPr>
          <w:rFonts w:ascii="Times New Roman" w:cs="Times New Roman" w:eastAsia="Times New Roman" w:hAnsi="Times New Roman"/>
          <w:color w:val="000000"/>
          <w:sz w:val="24"/>
          <w:szCs w:val="24"/>
        </w:rPr>
        <w:t xml:space="preserve">2. A specialized training corpus of Indian government administrative and procurement circular passages generated through weak supervision.</w:t>
      </w:r>
    </w:p>
    <w:p>
      <w:pPr>
        <w:spacing w:after="100" w:before="100" w:line="360"/>
        <w:jc w:val="both"/>
      </w:pPr>
      <w:r>
        <w:rPr>
          <w:rFonts w:ascii="Times New Roman" w:cs="Times New Roman" w:eastAsia="Times New Roman" w:hAnsi="Times New Roman"/>
          <w:color w:val="000000"/>
          <w:sz w:val="24"/>
          <w:szCs w:val="24"/>
        </w:rPr>
        <w:t xml:space="preserve">3. A trained linear classifier (tfidf_lr.pkl) achieving 0.94 F1-score on CPU hardware.</w:t>
      </w:r>
    </w:p>
    <w:p>
      <w:pPr>
        <w:spacing w:after="100" w:before="100" w:line="360"/>
        <w:jc w:val="both"/>
      </w:pPr>
      <w:r>
        <w:rPr>
          <w:rFonts w:ascii="Times New Roman" w:cs="Times New Roman" w:eastAsia="Times New Roman" w:hAnsi="Times New Roman"/>
          <w:color w:val="000000"/>
          <w:sz w:val="24"/>
          <w:szCs w:val="24"/>
        </w:rPr>
        <w:t xml:space="preserve">4. A research paper draft formatted in the NeurIPS template detailing architecture, mathematical formulations, and evaluation results.</w:t>
      </w:r>
    </w:p>
    <w:p>
      <w:pPr>
        <w:pageBreakBefore/>
        <w:spacing w:after="100" w:before="300"/>
        <w:jc w:val="center"/>
      </w:pPr>
      <w:r>
        <w:rPr>
          <w:rFonts w:ascii="Times New Roman" w:cs="Times New Roman" w:eastAsia="Times New Roman" w:hAnsi="Times New Roman"/>
          <w:b/>
          <w:bCs/>
          <w:color w:val="000000"/>
          <w:sz w:val="36"/>
          <w:szCs w:val="36"/>
        </w:rPr>
        <w:t xml:space="preserve">CHAPTER 9</w:t>
      </w:r>
    </w:p>
    <w:p>
      <w:pPr>
        <w:spacing w:after="300" w:before="100"/>
        <w:jc w:val="center"/>
      </w:pPr>
      <w:r>
        <w:rPr>
          <w:rFonts w:ascii="Times New Roman" w:cs="Times New Roman" w:eastAsia="Times New Roman" w:hAnsi="Times New Roman"/>
          <w:b/>
          <w:bCs/>
          <w:color w:val="000000"/>
          <w:sz w:val="36"/>
          <w:szCs w:val="36"/>
        </w:rPr>
        <w:t xml:space="preserve">RESULTS AND DISCUSSIONS</w:t>
      </w:r>
    </w:p>
    <w:p>
      <w:pPr>
        <w:spacing w:after="140" w:before="240"/>
        <w:jc w:val="left"/>
      </w:pPr>
      <w:r>
        <w:rPr>
          <w:rFonts w:ascii="Times New Roman" w:cs="Times New Roman" w:eastAsia="Times New Roman" w:hAnsi="Times New Roman"/>
          <w:b/>
          <w:bCs/>
          <w:color w:val="000000"/>
          <w:sz w:val="32"/>
          <w:szCs w:val="32"/>
        </w:rPr>
        <w:t xml:space="preserve">9.1 Stage 1 Relevance Classification Evaluation</w:t>
      </w:r>
    </w:p>
    <w:p>
      <w:pPr>
        <w:spacing w:after="100" w:before="100" w:line="360"/>
        <w:jc w:val="both"/>
      </w:pPr>
      <w:r>
        <w:rPr>
          <w:rFonts w:ascii="Times New Roman" w:cs="Times New Roman" w:eastAsia="Times New Roman" w:hAnsi="Times New Roman"/>
          <w:color w:val="000000"/>
          <w:sz w:val="24"/>
          <w:szCs w:val="24"/>
        </w:rPr>
        <w:t xml:space="preserve">The Stage 1 pre-filter was evaluated across an 80/20 train/test split. Table 9.1 compares baseline unigrams against the sublinear TF-IDF pipeline with bigrams and balanced class weights.</w:t>
      </w:r>
    </w:p>
    <w:p>
      <w:pPr>
        <w:spacing w:after="60" w:before="120"/>
        <w:jc w:val="center"/>
      </w:pPr>
      <w:r>
        <w:rPr>
          <w:rFonts w:ascii="Times New Roman" w:cs="Times New Roman" w:eastAsia="Times New Roman" w:hAnsi="Times New Roman"/>
          <w:b/>
          <w:bCs/>
          <w:color w:val="000000"/>
          <w:sz w:val="22"/>
          <w:szCs w:val="22"/>
        </w:rPr>
        <w:t xml:space="preserve">Table 9.1: Stage 1 Relevance Classification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0"/>
        <w:gridCol w:w="1354"/>
        <w:gridCol w:w="1354"/>
        <w:gridCol w:w="1354"/>
        <w:gridCol w:w="1354"/>
      </w:tblGrid>
      <w:tr>
        <w:tc>
          <w:tcPr>
            <w:tcW w:type="pct" w:w="20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Model Configuration</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Precision</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Recall</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F1-Score</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Accuracy</w:t>
            </w:r>
          </w:p>
        </w:tc>
      </w:tr>
      <w:tr>
        <w:tc>
          <w:tcPr>
            <w:tcW w:type="pct" w:w="2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TF-IDF (Unigram) + Logistic Regression</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0.88</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0.85</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0.86</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0.87</w:t>
            </w:r>
          </w:p>
        </w:tc>
      </w:tr>
      <w:tr>
        <w:tc>
          <w:tcPr>
            <w:tcW w:type="pct" w:w="2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DocSort (Unigram + Bigram, Sublinear TF)</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0.94</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0.91</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0.92</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0.93</w:t>
            </w:r>
          </w:p>
        </w:tc>
      </w:tr>
      <w:tr>
        <w:tc>
          <w:tcPr>
            <w:tcW w:type="pct" w:w="2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DocSort + Balanced Class Weights</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0.93</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0.96</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0.94</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0.94</w:t>
            </w:r>
          </w:p>
        </w:tc>
      </w:tr>
    </w:tbl>
    <w:p>
      <w:pPr>
        <w:spacing w:after="140" w:before="240"/>
        <w:jc w:val="left"/>
      </w:pPr>
      <w:r>
        <w:rPr>
          <w:rFonts w:ascii="Times New Roman" w:cs="Times New Roman" w:eastAsia="Times New Roman" w:hAnsi="Times New Roman"/>
          <w:b/>
          <w:bCs/>
          <w:color w:val="000000"/>
          <w:sz w:val="32"/>
          <w:szCs w:val="32"/>
        </w:rPr>
        <w:t xml:space="preserve">9.2 System Latency and Token Resource Savings</w:t>
      </w:r>
    </w:p>
    <w:p>
      <w:pPr>
        <w:spacing w:after="100" w:before="100" w:line="360"/>
        <w:jc w:val="both"/>
      </w:pPr>
      <w:r>
        <w:rPr>
          <w:rFonts w:ascii="Times New Roman" w:cs="Times New Roman" w:eastAsia="Times New Roman" w:hAnsi="Times New Roman"/>
          <w:color w:val="000000"/>
          <w:sz w:val="24"/>
          <w:szCs w:val="24"/>
        </w:rPr>
        <w:t xml:space="preserve">Resource consumption was measured on a benchmark stream of 100 mixed circulars (40 procurement and 60 general administrative). As shown in Table 9.2, early linear filtering reduces language model invocations by 57 percent, cutting prompt tokens and reducing average processing latency from 4.2 seconds to 1.9 seconds per document.</w:t>
      </w:r>
    </w:p>
    <w:p>
      <w:pPr>
        <w:spacing w:after="60" w:before="120"/>
        <w:jc w:val="center"/>
      </w:pPr>
      <w:r>
        <w:rPr>
          <w:rFonts w:ascii="Times New Roman" w:cs="Times New Roman" w:eastAsia="Times New Roman" w:hAnsi="Times New Roman"/>
          <w:b/>
          <w:bCs/>
          <w:color w:val="000000"/>
          <w:sz w:val="22"/>
          <w:szCs w:val="22"/>
        </w:rPr>
        <w:t xml:space="preserve">Table 9.2: System Latency and Token Usage on 100 Documents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2257"/>
        <w:gridCol w:w="2257"/>
        <w:gridCol w:w="1354"/>
      </w:tblGrid>
      <w:tr>
        <w:tc>
          <w:tcPr>
            <w:tcW w:type="pct" w:w="1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Operational Metric</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Direct LLM Pipeline</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DocSort Two-Stage</w:t>
            </w:r>
          </w:p>
        </w:tc>
        <w:tc>
          <w:tcPr>
            <w:tcW w:type="pct" w:w="7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Relative Change</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Total Documents Ingested</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Documents Invocating LLM</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43</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-57.0%</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Prompt Tokens Processed</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approx 245,000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approx 105,350</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-57.0%</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Mean CPU Triage Latency</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0.0 ms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3.8 ms</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+3.8 ms</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Mean Total Processing Time</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4.2 s / doc</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1.9 s / doc</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-54.8%</w:t>
            </w:r>
          </w:p>
        </w:tc>
      </w:tr>
      <w:tr>
        <w:tc>
          <w:tcPr>
            <w:tcW w:type="pct" w:w="1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Rate-Limit Starvation Incidents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7 / 100 calls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0 / 100 calls</w:t>
            </w:r>
          </w:p>
        </w:tc>
        <w:tc>
          <w:tcPr>
            <w:tcW w:type="pct" w:w="7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w:t>
            </w:r>
          </w:p>
        </w:tc>
      </w:tr>
    </w:tbl>
    <w:p>
      <w:pPr>
        <w:spacing w:after="140" w:before="240"/>
        <w:jc w:val="left"/>
      </w:pPr>
      <w:r>
        <w:rPr>
          <w:rFonts w:ascii="Times New Roman" w:cs="Times New Roman" w:eastAsia="Times New Roman" w:hAnsi="Times New Roman"/>
          <w:b/>
          <w:bCs/>
          <w:color w:val="000000"/>
          <w:sz w:val="32"/>
          <w:szCs w:val="32"/>
        </w:rPr>
        <w:t xml:space="preserve">9.3 Verbatim Verification Audit Analysis</w:t>
      </w:r>
    </w:p>
    <w:p>
      <w:pPr>
        <w:spacing w:after="100" w:before="100" w:line="360"/>
        <w:jc w:val="both"/>
      </w:pPr>
      <w:r>
        <w:rPr>
          <w:rFonts w:ascii="Times New Roman" w:cs="Times New Roman" w:eastAsia="Times New Roman" w:hAnsi="Times New Roman"/>
          <w:color w:val="000000"/>
          <w:sz w:val="24"/>
          <w:szCs w:val="24"/>
        </w:rPr>
        <w:t xml:space="preserve">A validation sample of 40 extracted documents was examined to assess Stage 3. Table 9.3 reports pass rates across factual fields. Discrepancies were found in approximately 6 percent of extractions, primarily when the model omitted administrative subdivision names from issuing authority titles.</w:t>
      </w:r>
    </w:p>
    <w:p>
      <w:pPr>
        <w:spacing w:after="60" w:before="120"/>
        <w:jc w:val="center"/>
      </w:pPr>
      <w:r>
        <w:rPr>
          <w:rFonts w:ascii="Times New Roman" w:cs="Times New Roman" w:eastAsia="Times New Roman" w:hAnsi="Times New Roman"/>
          <w:b/>
          <w:bCs/>
          <w:color w:val="000000"/>
          <w:sz w:val="22"/>
          <w:szCs w:val="22"/>
        </w:rPr>
        <w:t xml:space="preserve">Table 9.3: Verbatim Verification Results Across Factual Fields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257"/>
        <w:gridCol w:w="1805"/>
      </w:tblGrid>
      <w:tr>
        <w:tc>
          <w:tcPr>
            <w:tcW w:type="pct" w:w="15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Field Name</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Present in Text (%)</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Extracted by LLM (%)</w:t>
            </w:r>
          </w:p>
        </w:tc>
        <w:tc>
          <w:tcPr>
            <w:tcW w:type="pct" w:w="10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Verification Pass Rate (%)</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title</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100.0%</w:t>
            </w:r>
          </w:p>
        </w:tc>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95.0%</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date</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97.5%</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97.5%</w:t>
            </w:r>
          </w:p>
        </w:tc>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97.4%</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issuing_authority</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100.0%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97.5%</w:t>
            </w:r>
          </w:p>
        </w:tc>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92.3%</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om_number</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95.0%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92.5%</w:t>
            </w:r>
          </w:p>
        </w:tc>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94.6%</w:t>
            </w:r>
          </w:p>
        </w:tc>
      </w:tr>
      <w:tr>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supersedes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35.0%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35.0%</w:t>
            </w:r>
          </w:p>
        </w:tc>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85.7%</w:t>
            </w:r>
          </w:p>
        </w:tc>
      </w:tr>
    </w:tbl>
    <w:p>
      <w:pPr>
        <w:spacing w:after="140" w:before="240"/>
        <w:jc w:val="left"/>
      </w:pPr>
      <w:r>
        <w:rPr>
          <w:rFonts w:ascii="Times New Roman" w:cs="Times New Roman" w:eastAsia="Times New Roman" w:hAnsi="Times New Roman"/>
          <w:b/>
          <w:bCs/>
          <w:color w:val="000000"/>
          <w:sz w:val="32"/>
          <w:szCs w:val="32"/>
        </w:rPr>
        <w:t xml:space="preserve">9.4 Taxonomy Compliance Evaluation</w:t>
      </w:r>
    </w:p>
    <w:p>
      <w:pPr>
        <w:spacing w:after="100" w:before="100" w:line="360"/>
        <w:jc w:val="both"/>
      </w:pPr>
      <w:r>
        <w:rPr>
          <w:rFonts w:ascii="Times New Roman" w:cs="Times New Roman" w:eastAsia="Times New Roman" w:hAnsi="Times New Roman"/>
          <w:color w:val="000000"/>
          <w:sz w:val="24"/>
          <w:szCs w:val="24"/>
        </w:rPr>
        <w:t xml:space="preserve">Table 9.4 evaluates category classification adherence across 120 extraction runs. Unconstrained prompting resulted in out-of-vocabulary tags in 14.2 percent of cases. Enforcing the vocabulary inside the Pydantic schema validator eliminated invalid category tags completely.</w:t>
      </w:r>
    </w:p>
    <w:p>
      <w:pPr>
        <w:spacing w:after="60" w:before="120"/>
        <w:jc w:val="center"/>
      </w:pPr>
      <w:r>
        <w:rPr>
          <w:rFonts w:ascii="Times New Roman" w:cs="Times New Roman" w:eastAsia="Times New Roman" w:hAnsi="Times New Roman"/>
          <w:b/>
          <w:bCs/>
          <w:color w:val="000000"/>
          <w:sz w:val="22"/>
          <w:szCs w:val="22"/>
        </w:rPr>
        <w:t xml:space="preserve">Table 9.4: Category Taxonomy Compliance Across 120 Runs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7"/>
      </w:tblGrid>
      <w:tr>
        <w:tc>
          <w:tcPr>
            <w:tcW w:type="pct" w:w="25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Configuration</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Out-of-Vocabulary Tags (%)</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Valid Compliance (%)</w:t>
            </w:r>
          </w:p>
        </w:tc>
      </w:tr>
      <w:tr>
        <w:tc>
          <w:tcPr>
            <w:tcW w:type="pct" w:w="2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Unconstrained Prompting</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14.2%</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85.8%</w:t>
            </w:r>
          </w:p>
        </w:tc>
      </w:tr>
      <w:tr>
        <w:tc>
          <w:tcPr>
            <w:tcW w:type="pct" w:w="2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DocSort (Pydantic Validator)</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0.0%</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100.0%</w:t>
            </w:r>
          </w:p>
        </w:tc>
      </w:tr>
    </w:tbl>
    <w:p>
      <w:pPr>
        <w:pageBreakBefore/>
        <w:spacing w:after="100" w:before="300"/>
        <w:jc w:val="center"/>
      </w:pPr>
      <w:r>
        <w:rPr>
          <w:rFonts w:ascii="Times New Roman" w:cs="Times New Roman" w:eastAsia="Times New Roman" w:hAnsi="Times New Roman"/>
          <w:b/>
          <w:bCs/>
          <w:color w:val="000000"/>
          <w:sz w:val="36"/>
          <w:szCs w:val="36"/>
        </w:rPr>
        <w:t xml:space="preserve">CHAPTER 10</w:t>
      </w:r>
    </w:p>
    <w:p>
      <w:pPr>
        <w:spacing w:after="300" w:before="100"/>
        <w:jc w:val="center"/>
      </w:pPr>
      <w:r>
        <w:rPr>
          <w:rFonts w:ascii="Times New Roman" w:cs="Times New Roman" w:eastAsia="Times New Roman" w:hAnsi="Times New Roman"/>
          <w:b/>
          <w:bCs/>
          <w:color w:val="000000"/>
          <w:sz w:val="36"/>
          <w:szCs w:val="36"/>
        </w:rPr>
        <w:t xml:space="preserve">CONCLUSION AND FUTURE WORK</w:t>
      </w:r>
    </w:p>
    <w:p>
      <w:pPr>
        <w:spacing w:after="100" w:before="100" w:line="360"/>
        <w:jc w:val="both"/>
      </w:pPr>
      <w:r>
        <w:rPr>
          <w:rFonts w:ascii="Times New Roman" w:cs="Times New Roman" w:eastAsia="Times New Roman" w:hAnsi="Times New Roman"/>
          <w:color w:val="000000"/>
          <w:sz w:val="24"/>
          <w:szCs w:val="24"/>
        </w:rPr>
        <w:t xml:space="preserve">This project implemented DocSort, a practical two-stage engine for regulatory document classification and verifiable metadata extraction. By combining a lightweight linear pre-filter based on sublinear TF-IDF features with a constrained language model and deterministic source verification, the system reduces language model calls by 57 percent, prevents API rate limits, and lowers mean processing time to 1.9 seconds per document. The verification layer isolates factual discrepancies without modifying raw extractions.</w:t>
      </w:r>
    </w:p>
    <w:p>
      <w:pPr>
        <w:spacing w:after="100" w:before="100" w:line="360"/>
        <w:jc w:val="both"/>
      </w:pPr>
      <w:r>
        <w:rPr>
          <w:rFonts w:ascii="Times New Roman" w:cs="Times New Roman" w:eastAsia="Times New Roman" w:hAnsi="Times New Roman"/>
          <w:color w:val="000000"/>
          <w:sz w:val="24"/>
          <w:szCs w:val="24"/>
        </w:rPr>
        <w:t xml:space="preserve">Future work will focus on two technical directions. First, integrating optical character recognition will support legacy scanned image PDFs. Second, connecting extracted supersession text to a graph database will enable automated tracking of policy supersession chains over time.</w:t>
      </w:r>
    </w:p>
    <w:p>
      <w:pPr>
        <w:pageBreakBefore/>
        <w:spacing w:after="200" w:before="300"/>
        <w:jc w:val="center"/>
      </w:pPr>
      <w:r>
        <w:rPr>
          <w:rFonts w:ascii="Times New Roman" w:cs="Times New Roman" w:eastAsia="Times New Roman" w:hAnsi="Times New Roman"/>
          <w:b/>
          <w:bCs/>
          <w:color w:val="000000"/>
          <w:sz w:val="36"/>
          <w:szCs w:val="36"/>
        </w:rPr>
        <w:t xml:space="preserve">REFERENCES</w:t>
      </w:r>
    </w:p>
    <w:p>
      <w:pPr>
        <w:spacing w:after="100" w:before="100" w:line="360"/>
        <w:jc w:val="left"/>
      </w:pPr>
      <w:r>
        <w:rPr>
          <w:rFonts w:ascii="Times New Roman" w:cs="Times New Roman" w:eastAsia="Times New Roman" w:hAnsi="Times New Roman"/>
          <w:color w:val="000000"/>
          <w:sz w:val="24"/>
          <w:szCs w:val="24"/>
        </w:rPr>
        <w:t xml:space="preserve">[1] R. Manning and N. Parison, "International Public Procurement: A Guide to Best Practice," Palgrave Macmillan, 2008.</w:t>
      </w:r>
    </w:p>
    <w:p>
      <w:pPr>
        <w:spacing w:after="100" w:before="100" w:line="360"/>
        <w:jc w:val="left"/>
      </w:pPr>
      <w:r>
        <w:rPr>
          <w:rFonts w:ascii="Times New Roman" w:cs="Times New Roman" w:eastAsia="Times New Roman" w:hAnsi="Times New Roman"/>
          <w:color w:val="000000"/>
          <w:sz w:val="24"/>
          <w:szCs w:val="24"/>
        </w:rPr>
        <w:t xml:space="preserve">[2] G. Salton and C. Buckley, "Term-weighting approaches in automatic text retrieval," Information Processing &amp; Management, vol. 24, no. 5, pp. 513-523, 1988.</w:t>
      </w:r>
    </w:p>
    <w:p>
      <w:pPr>
        <w:spacing w:after="100" w:before="100" w:line="360"/>
        <w:jc w:val="left"/>
      </w:pPr>
      <w:r>
        <w:rPr>
          <w:rFonts w:ascii="Times New Roman" w:cs="Times New Roman" w:eastAsia="Times New Roman" w:hAnsi="Times New Roman"/>
          <w:color w:val="000000"/>
          <w:sz w:val="24"/>
          <w:szCs w:val="24"/>
        </w:rPr>
        <w:t xml:space="preserve">[3] F. Pedregosa, G. Varoquaux, A. Gramfort, V. Michel, B. Thirion, O. Grisel, M. Blondel, P. Prettenhofer, R. Weiss, V. Dubourg, and J. Vanderplas, "Scikit-learn: Machine learning in Python," Journal of Machine Learning Research, vol. 12, pp. 2825-2830, 2011.</w:t>
      </w:r>
    </w:p>
    <w:p>
      <w:pPr>
        <w:spacing w:after="100" w:before="100" w:line="360"/>
        <w:jc w:val="left"/>
      </w:pPr>
      <w:r>
        <w:rPr>
          <w:rFonts w:ascii="Times New Roman" w:cs="Times New Roman" w:eastAsia="Times New Roman" w:hAnsi="Times New Roman"/>
          <w:color w:val="000000"/>
          <w:sz w:val="24"/>
          <w:szCs w:val="24"/>
        </w:rPr>
        <w:t xml:space="preserve">[4] J. Devlin, M. W. Chang, K. Lee, and K. Toutanova, "BERT: Pre-training of deep bidirectional transformers for language understanding," in Proc. NAACL-HLT, 2019, pp. 4171-4186.</w:t>
      </w:r>
    </w:p>
    <w:p>
      <w:pPr>
        <w:spacing w:after="100" w:before="100" w:line="360"/>
        <w:jc w:val="left"/>
      </w:pPr>
      <w:r>
        <w:rPr>
          <w:rFonts w:ascii="Times New Roman" w:cs="Times New Roman" w:eastAsia="Times New Roman" w:hAnsi="Times New Roman"/>
          <w:color w:val="000000"/>
          <w:sz w:val="24"/>
          <w:szCs w:val="24"/>
        </w:rPr>
        <w:t xml:space="preserve">[5] I. Chalkidis, M. Fergadiotis, P. Malakasiotis, N. Aletras, and I. Androutsopoulos, "LEGAL-BERT: The muppets straight out of law school," in Proc. EMNLP (Findings), 2020, pp. 2898-2904.</w:t>
      </w:r>
    </w:p>
    <w:p>
      <w:pPr>
        <w:spacing w:after="100" w:before="100" w:line="360"/>
        <w:jc w:val="left"/>
      </w:pPr>
      <w:r>
        <w:rPr>
          <w:rFonts w:ascii="Times New Roman" w:cs="Times New Roman" w:eastAsia="Times New Roman" w:hAnsi="Times New Roman"/>
          <w:color w:val="000000"/>
          <w:sz w:val="24"/>
          <w:szCs w:val="24"/>
        </w:rPr>
        <w:t xml:space="preserve">[6] D. Hendrycks, C. Burns, A. Chen, and S. Ball, "CUAD: An expert-annotated NLP dataset for legal contract review," in Proc. NeurIPS Datasets and Benchmarks Track, 2021.</w:t>
      </w:r>
    </w:p>
    <w:p>
      <w:pPr>
        <w:spacing w:after="100" w:before="100" w:line="360"/>
        <w:jc w:val="left"/>
      </w:pPr>
      <w:r>
        <w:rPr>
          <w:rFonts w:ascii="Times New Roman" w:cs="Times New Roman" w:eastAsia="Times New Roman" w:hAnsi="Times New Roman"/>
          <w:color w:val="000000"/>
          <w:sz w:val="24"/>
          <w:szCs w:val="24"/>
        </w:rPr>
        <w:t xml:space="preserve">[7] A. Vaswani, N. Shazeer, N. Parmar, J. Uszkoreit, L. Jones, A. N. Gomez, L. Kaiser, and I. Polosukhin, "Attention is all you need," in Advances in Neural Information Processing Systems, vol. 30, 2017.</w:t>
      </w:r>
    </w:p>
    <w:p>
      <w:pPr>
        <w:spacing w:after="100" w:before="100" w:line="360"/>
        <w:jc w:val="left"/>
      </w:pPr>
      <w:r>
        <w:rPr>
          <w:rFonts w:ascii="Times New Roman" w:cs="Times New Roman" w:eastAsia="Times New Roman" w:hAnsi="Times New Roman"/>
          <w:color w:val="000000"/>
          <w:sz w:val="24"/>
          <w:szCs w:val="24"/>
        </w:rPr>
        <w:t xml:space="preserve">[8] Z. Ji, N. Lee, R. Frieske, T. Yu, D. Su, Y. Xu, E. Ishii, Y. J. Bang, A. Madotto, and P. Fung, "Survey of hallucination in natural language generation," ACM Computing Surveys, vol. 55, no. 12, pp. 1-38, 2023.</w:t>
      </w:r>
    </w:p>
    <w:p>
      <w:pPr>
        <w:spacing w:after="100" w:before="100" w:line="360"/>
        <w:jc w:val="left"/>
      </w:pPr>
      <w:r>
        <w:rPr>
          <w:rFonts w:ascii="Times New Roman" w:cs="Times New Roman" w:eastAsia="Times New Roman" w:hAnsi="Times New Roman"/>
          <w:color w:val="000000"/>
          <w:sz w:val="24"/>
          <w:szCs w:val="24"/>
        </w:rPr>
        <w:t xml:space="preserve">[9] J. Maynez, S. Narayan, B. Bohnet, and R. McDonald, "On faithfulness and factuality in abstractive summarization," in Proc. ACL, 2020, pp. 1906-1919.</w:t>
      </w:r>
    </w:p>
    <w:p>
      <w:pPr>
        <w:spacing w:after="100" w:before="100" w:line="360"/>
        <w:jc w:val="left"/>
      </w:pPr>
      <w:r>
        <w:rPr>
          <w:rFonts w:ascii="Times New Roman" w:cs="Times New Roman" w:eastAsia="Times New Roman" w:hAnsi="Times New Roman"/>
          <w:color w:val="000000"/>
          <w:sz w:val="24"/>
          <w:szCs w:val="24"/>
        </w:rPr>
        <w:t xml:space="preserve">[10] A. Ratner, C. De Sa, S. Wu, D. Selsam, and C. Ré, "Data programming: Creating large training sets, quickly," in Advances in Neural Information Processing Systems, vol. 29, 2016.</w:t>
      </w:r>
    </w:p>
    <w:p>
      <w:pPr>
        <w:spacing w:after="100" w:before="100" w:line="360"/>
        <w:jc w:val="left"/>
      </w:pPr>
      <w:r>
        <w:rPr>
          <w:rFonts w:ascii="Times New Roman" w:cs="Times New Roman" w:eastAsia="Times New Roman" w:hAnsi="Times New Roman"/>
          <w:color w:val="000000"/>
          <w:sz w:val="24"/>
          <w:szCs w:val="24"/>
        </w:rPr>
        <w:t xml:space="preserve">[11] M. Mintz, S. Bills, R. Snow, and D. Jurafsky, "Distant supervision for relation extraction without labeled data," in Proc. ACL-IJCNLP, 2009, pp. 1003-1011.</w:t>
      </w:r>
    </w:p>
    <w:p>
      <w:pPr>
        <w:spacing w:after="100" w:before="100" w:line="360"/>
        <w:jc w:val="left"/>
      </w:pPr>
      <w:r>
        <w:rPr>
          <w:rFonts w:ascii="Times New Roman" w:cs="Times New Roman" w:eastAsia="Times New Roman" w:hAnsi="Times New Roman"/>
          <w:color w:val="000000"/>
          <w:sz w:val="24"/>
          <w:szCs w:val="24"/>
        </w:rPr>
        <w:t xml:space="preserve">[12] Ministry of Finance, "General Financial Rules 2017," Department of Expenditure, Government of India, Tech. Rep., 2017.</w:t>
      </w:r>
    </w:p>
    <w:p>
      <w:pPr>
        <w:spacing w:after="100" w:before="100" w:line="360"/>
        <w:jc w:val="left"/>
      </w:pPr>
      <w:r>
        <w:rPr>
          <w:rFonts w:ascii="Times New Roman" w:cs="Times New Roman" w:eastAsia="Times New Roman" w:hAnsi="Times New Roman"/>
          <w:color w:val="000000"/>
          <w:sz w:val="24"/>
          <w:szCs w:val="24"/>
        </w:rPr>
        <w:t xml:space="preserve">[13] Department of Expenditure, "Manual for Procurement of Goods," Ministry of Finance, Government of India, New Delhi, Tech. Rep., 2024.</w:t>
      </w:r>
    </w:p>
    <w:p>
      <w:pPr>
        <w:spacing w:after="100" w:before="100" w:line="360"/>
        <w:jc w:val="left"/>
      </w:pPr>
      <w:r>
        <w:rPr>
          <w:rFonts w:ascii="Times New Roman" w:cs="Times New Roman" w:eastAsia="Times New Roman" w:hAnsi="Times New Roman"/>
          <w:color w:val="000000"/>
          <w:sz w:val="24"/>
          <w:szCs w:val="24"/>
        </w:rPr>
        <w:t xml:space="preserve">[14] Central Vigilance Commission, "Vigilance Manual 2021," Central Vigilance Commission, Government of India, New Delhi, Tech. Rep., 2021.</w:t>
      </w:r>
    </w:p>
    <w:p>
      <w:pPr>
        <w:spacing w:after="100" w:before="100" w:line="360"/>
        <w:jc w:val="left"/>
      </w:pPr>
      <w:r>
        <w:rPr>
          <w:rFonts w:ascii="Times New Roman" w:cs="Times New Roman" w:eastAsia="Times New Roman" w:hAnsi="Times New Roman"/>
          <w:color w:val="000000"/>
          <w:sz w:val="24"/>
          <w:szCs w:val="24"/>
        </w:rPr>
        <w:t xml:space="preserve">[15] Government e-Marketplace, "Procurement Guidelines and Payment Procedures," Ministry of Commerce and Industry, Government of India, 2023.</w:t>
      </w:r>
    </w:p>
    <w:p>
      <w:pPr>
        <w:pageBreakBefore/>
        <w:spacing w:after="100" w:before="300"/>
        <w:jc w:val="center"/>
      </w:pPr>
      <w:r>
        <w:rPr>
          <w:rFonts w:ascii="Times New Roman" w:cs="Times New Roman" w:eastAsia="Times New Roman" w:hAnsi="Times New Roman"/>
          <w:b/>
          <w:bCs/>
          <w:color w:val="000000"/>
          <w:sz w:val="36"/>
          <w:szCs w:val="36"/>
        </w:rPr>
        <w:t xml:space="preserve">APPENDIX-A</w:t>
      </w:r>
    </w:p>
    <w:p>
      <w:pPr>
        <w:spacing w:after="300" w:before="100"/>
        <w:jc w:val="center"/>
      </w:pPr>
      <w:r>
        <w:rPr>
          <w:rFonts w:ascii="Times New Roman" w:cs="Times New Roman" w:eastAsia="Times New Roman" w:hAnsi="Times New Roman"/>
          <w:b/>
          <w:bCs/>
          <w:color w:val="000000"/>
          <w:sz w:val="32"/>
          <w:szCs w:val="32"/>
        </w:rPr>
        <w:t xml:space="preserve">PSEUDOCODE AND CORE ALGORITHMS</w:t>
      </w:r>
    </w:p>
    <w:p>
      <w:pPr>
        <w:spacing w:after="140" w:before="240"/>
        <w:jc w:val="left"/>
      </w:pPr>
      <w:r>
        <w:rPr>
          <w:rFonts w:ascii="Times New Roman" w:cs="Times New Roman" w:eastAsia="Times New Roman" w:hAnsi="Times New Roman"/>
          <w:b/>
          <w:bCs/>
          <w:color w:val="000000"/>
          <w:sz w:val="32"/>
          <w:szCs w:val="32"/>
        </w:rPr>
        <w:t xml:space="preserve">Algorithm 1: Scanned File Guard and Text Extraction</w:t>
      </w:r>
    </w:p>
    <w:p>
      <w:pPr>
        <w:spacing w:after="100" w:before="100" w:line="360"/>
        <w:jc w:val="left"/>
      </w:pPr>
      <w:r>
        <w:rPr>
          <w:rFonts w:ascii="Times New Roman" w:cs="Times New Roman" w:eastAsia="Times New Roman" w:hAnsi="Times New Roman"/>
          <w:color w:val="000000"/>
          <w:sz w:val="24"/>
          <w:szCs w:val="24"/>
        </w:rPr>
        <w:t xml:space="preserve">Input: PDF file stream D, minimum character threshold N_min = 50
Output: Extracted text string T
1: Initialize total_text = ""
2: for each page p in D do
3:     page_text = extract_characters(p)
4:     total_text = total_text + " " + page_text
5: end for
6: if length(trim(total_text)) &lt; N_min then
7:     raise ScannedDocumentError("Document appears to be scanned raster image")
8: end if
9: return clean_whitespace(total_text)</w:t>
      </w:r>
    </w:p>
    <w:p>
      <w:pPr>
        <w:spacing w:after="140" w:before="240"/>
        <w:jc w:val="left"/>
      </w:pPr>
      <w:r>
        <w:rPr>
          <w:rFonts w:ascii="Times New Roman" w:cs="Times New Roman" w:eastAsia="Times New Roman" w:hAnsi="Times New Roman"/>
          <w:b/>
          <w:bCs/>
          <w:color w:val="000000"/>
          <w:sz w:val="32"/>
          <w:szCs w:val="32"/>
        </w:rPr>
        <w:t xml:space="preserve">Algorithm 2: Sublinear TF-IDF and Logistic Regression Triage</w:t>
      </w:r>
    </w:p>
    <w:p>
      <w:pPr>
        <w:spacing w:after="100" w:before="100" w:line="360"/>
        <w:jc w:val="left"/>
      </w:pPr>
      <w:r>
        <w:rPr>
          <w:rFonts w:ascii="Times New Roman" w:cs="Times New Roman" w:eastAsia="Times New Roman" w:hAnsi="Times New Roman"/>
          <w:color w:val="000000"/>
          <w:sz w:val="24"/>
          <w:szCs w:val="24"/>
        </w:rPr>
        <w:t xml:space="preserve">Input: Document text T, passage length L_chunk = 1500, threshold theta = 0.5
Output: Boolean is_relevant, confidence score
1: passages = segment_into_paragraphs(T, max_len=L_chunk)
2: prob_list = []
3: for each passage c in passages do
4:     x = vectorize_sublinear_tfidf(c)
5:     p_c = sigmoid(dot(w, x) + b)
6:     append p_c to prob_list
7: end for
8: p_max = max(prob_list)
9: frac = count(prob_list &gt;= 0.5) / length(prob_list)
10: if p_max &gt;= 0.8 or frac &gt;= 0.3 then
11:    return True, max(p_max, frac)
12: else if p_max &lt; 0.4 and frac &lt; 0.1 then
13:    return False, 1.0 - p_max
14: else
15:    return False, p_max (flagged as uncertain)
16: end if</w:t>
      </w:r>
    </w:p>
    <w:p>
      <w:pPr>
        <w:spacing w:after="140" w:before="240"/>
        <w:jc w:val="left"/>
      </w:pPr>
      <w:r>
        <w:rPr>
          <w:rFonts w:ascii="Times New Roman" w:cs="Times New Roman" w:eastAsia="Times New Roman" w:hAnsi="Times New Roman"/>
          <w:b/>
          <w:bCs/>
          <w:color w:val="000000"/>
          <w:sz w:val="32"/>
          <w:szCs w:val="32"/>
        </w:rPr>
        <w:t xml:space="preserve">Algorithm 3: Deterministic Verbatim Verification</w:t>
      </w:r>
    </w:p>
    <w:p>
      <w:pPr>
        <w:spacing w:after="100" w:before="100" w:line="360"/>
        <w:jc w:val="left"/>
      </w:pPr>
      <w:r>
        <w:rPr>
          <w:rFonts w:ascii="Times New Roman" w:cs="Times New Roman" w:eastAsia="Times New Roman" w:hAnsi="Times New Roman"/>
          <w:color w:val="000000"/>
          <w:sz w:val="24"/>
          <w:szCs w:val="24"/>
        </w:rPr>
        <w:t xml:space="preserve">Input: Extracted dictionary M, raw document text T
Output: List of unverified field names verification_flags
1: T_norm = normalize_lowercase_whitespace(T)
2: verification_flags = []
3: for each factual field f in {title, date, issuing_authority, om_number, supersedes} do
4:     val = M[f]
5:     if val is not null and length(val) &gt; 0 then
6:         val_norm = normalize_lowercase_whitespace(val)
7:         if val_norm is not substring of T_norm then
8:             append f to verification_flags
9:         end if
10:    end if
11: end for
12: return verification_flags</w:t>
      </w:r>
    </w:p>
    <w:p>
      <w:pPr>
        <w:pageBreakBefore/>
        <w:spacing w:after="100" w:before="300"/>
        <w:jc w:val="center"/>
      </w:pPr>
      <w:r>
        <w:rPr>
          <w:rFonts w:ascii="Times New Roman" w:cs="Times New Roman" w:eastAsia="Times New Roman" w:hAnsi="Times New Roman"/>
          <w:b/>
          <w:bCs/>
          <w:color w:val="000000"/>
          <w:sz w:val="36"/>
          <w:szCs w:val="36"/>
        </w:rPr>
        <w:t xml:space="preserve">APPENDIX-B</w:t>
      </w:r>
    </w:p>
    <w:p>
      <w:pPr>
        <w:spacing w:after="300" w:before="100"/>
        <w:jc w:val="center"/>
      </w:pPr>
      <w:r>
        <w:rPr>
          <w:rFonts w:ascii="Times New Roman" w:cs="Times New Roman" w:eastAsia="Times New Roman" w:hAnsi="Times New Roman"/>
          <w:b/>
          <w:bCs/>
          <w:color w:val="000000"/>
          <w:sz w:val="32"/>
          <w:szCs w:val="32"/>
        </w:rPr>
        <w:t xml:space="preserve">SYSTEM SCREENSHOTS</w:t>
      </w:r>
    </w:p>
    <w:p>
      <w:pPr>
        <w:spacing w:after="100" w:before="100" w:line="360"/>
        <w:jc w:val="both"/>
      </w:pPr>
      <w:r>
        <w:rPr>
          <w:rFonts w:ascii="Times New Roman" w:cs="Times New Roman" w:eastAsia="Times New Roman" w:hAnsi="Times New Roman"/>
          <w:color w:val="000000"/>
          <w:sz w:val="24"/>
          <w:szCs w:val="24"/>
        </w:rPr>
        <w:t xml:space="preserve">Figure B.1 illustrates the DocSort main web dashboard. The interface presents a dropzone for PDF circular ingestion, an active status summary card, and a tabular document registry indicating classification status, confidence score, and verification flags.</w:t>
      </w:r>
    </w:p>
    <w:p>
      <w:pPr>
        <w:spacing w:after="120" w:before="60"/>
        <w:jc w:val="center"/>
      </w:pPr>
      <w:r>
        <w:rPr>
          <w:rFonts w:ascii="Times New Roman" w:cs="Times New Roman" w:eastAsia="Times New Roman" w:hAnsi="Times New Roman"/>
          <w:b/>
          <w:bCs/>
          <w:color w:val="000000"/>
          <w:sz w:val="22"/>
          <w:szCs w:val="22"/>
        </w:rPr>
        <w:t xml:space="preserve">Figure B.1: Main Compliance Registry and Dashboard Interface</w:t>
      </w:r>
    </w:p>
    <w:p>
      <w:pPr>
        <w:spacing w:after="100" w:before="100" w:line="360"/>
        <w:jc w:val="both"/>
      </w:pPr>
      <w:r>
        <w:rPr>
          <w:rFonts w:ascii="Times New Roman" w:cs="Times New Roman" w:eastAsia="Times New Roman" w:hAnsi="Times New Roman"/>
          <w:color w:val="000000"/>
          <w:sz w:val="24"/>
          <w:szCs w:val="24"/>
        </w:rPr>
        <w:t xml:space="preserve">Figure B.2 shows the document inspection drawer. Clicking a processed document displays the extracted metadata fields side by side with source verification flags. Discrepancies are highlighted in orange badges, enabling compliance officers to audit the original file without leaving the interface.</w:t>
      </w:r>
    </w:p>
    <w:p>
      <w:pPr>
        <w:spacing w:after="120" w:before="60"/>
        <w:jc w:val="center"/>
      </w:pPr>
      <w:r>
        <w:rPr>
          <w:rFonts w:ascii="Times New Roman" w:cs="Times New Roman" w:eastAsia="Times New Roman" w:hAnsi="Times New Roman"/>
          <w:b/>
          <w:bCs/>
          <w:color w:val="000000"/>
          <w:sz w:val="22"/>
          <w:szCs w:val="22"/>
        </w:rPr>
        <w:t xml:space="preserve">Figure B.2: Document Inspection Drawer with Verbatim Verification Flags</w:t>
      </w:r>
    </w:p>
    <w:p>
      <w:pPr>
        <w:pageBreakBefore/>
        <w:spacing w:after="100" w:before="300"/>
        <w:jc w:val="center"/>
      </w:pPr>
      <w:r>
        <w:rPr>
          <w:rFonts w:ascii="Times New Roman" w:cs="Times New Roman" w:eastAsia="Times New Roman" w:hAnsi="Times New Roman"/>
          <w:b/>
          <w:bCs/>
          <w:color w:val="000000"/>
          <w:sz w:val="36"/>
          <w:szCs w:val="36"/>
        </w:rPr>
        <w:t xml:space="preserve">APPENDIX-C</w:t>
      </w:r>
    </w:p>
    <w:p>
      <w:pPr>
        <w:spacing w:after="300" w:before="100"/>
        <w:jc w:val="center"/>
      </w:pPr>
      <w:r>
        <w:rPr>
          <w:rFonts w:ascii="Times New Roman" w:cs="Times New Roman" w:eastAsia="Times New Roman" w:hAnsi="Times New Roman"/>
          <w:b/>
          <w:bCs/>
          <w:color w:val="000000"/>
          <w:sz w:val="32"/>
          <w:szCs w:val="32"/>
        </w:rPr>
        <w:t xml:space="preserve">ENCLOSURES AND SDG MAPPING</w:t>
      </w:r>
    </w:p>
    <w:p>
      <w:pPr>
        <w:spacing w:after="140" w:before="240"/>
        <w:jc w:val="left"/>
      </w:pPr>
      <w:r>
        <w:rPr>
          <w:rFonts w:ascii="Times New Roman" w:cs="Times New Roman" w:eastAsia="Times New Roman" w:hAnsi="Times New Roman"/>
          <w:b/>
          <w:bCs/>
          <w:color w:val="000000"/>
          <w:sz w:val="32"/>
          <w:szCs w:val="32"/>
        </w:rPr>
        <w:t xml:space="preserve">Enclosure 1: Research Paper Registration and Draft</w:t>
      </w:r>
    </w:p>
    <w:p>
      <w:pPr>
        <w:spacing w:after="100" w:before="100" w:line="360"/>
        <w:jc w:val="left"/>
      </w:pPr>
      <w:r>
        <w:rPr>
          <w:rFonts w:ascii="Times New Roman" w:cs="Times New Roman" w:eastAsia="Times New Roman" w:hAnsi="Times New Roman"/>
          <w:color w:val="000000"/>
          <w:sz w:val="24"/>
          <w:szCs w:val="24"/>
        </w:rPr>
        <w:t xml:space="preserve">Title: DocSort: A Two-Stage Architecture for Regulatory Document Triage and Verifiable Metadata Extraction.
Authors: Keerthan Shetty, S Mohammed Saheem, Tharun H N.
Format: NeurIPS 2017 Conference LaTeX Style.
Status: Complete manuscript ready for submission to academic natural language processing tracks.</w:t>
      </w:r>
    </w:p>
    <w:p>
      <w:pPr>
        <w:spacing w:after="140" w:before="240"/>
        <w:jc w:val="left"/>
      </w:pPr>
      <w:r>
        <w:rPr>
          <w:rFonts w:ascii="Times New Roman" w:cs="Times New Roman" w:eastAsia="Times New Roman" w:hAnsi="Times New Roman"/>
          <w:b/>
          <w:bCs/>
          <w:color w:val="000000"/>
          <w:sz w:val="32"/>
          <w:szCs w:val="32"/>
        </w:rPr>
        <w:t xml:space="preserve">Enclosure 2: Plagiarism Check Summary</w:t>
      </w:r>
    </w:p>
    <w:p>
      <w:pPr>
        <w:spacing w:after="100" w:before="100" w:line="360"/>
        <w:jc w:val="left"/>
      </w:pPr>
      <w:r>
        <w:rPr>
          <w:rFonts w:ascii="Times New Roman" w:cs="Times New Roman" w:eastAsia="Times New Roman" w:hAnsi="Times New Roman"/>
          <w:color w:val="000000"/>
          <w:sz w:val="24"/>
          <w:szCs w:val="24"/>
        </w:rPr>
        <w:t xml:space="preserve">Similarity Index: Verified within acceptable institutional bounds (&lt; 15 percent overall, excluding mathematical formulas and direct statutory citations).</w:t>
      </w:r>
    </w:p>
    <w:p>
      <w:pPr>
        <w:spacing w:after="140" w:before="240"/>
        <w:jc w:val="left"/>
      </w:pPr>
      <w:r>
        <w:rPr>
          <w:rFonts w:ascii="Times New Roman" w:cs="Times New Roman" w:eastAsia="Times New Roman" w:hAnsi="Times New Roman"/>
          <w:b/>
          <w:bCs/>
          <w:color w:val="000000"/>
          <w:sz w:val="32"/>
          <w:szCs w:val="32"/>
        </w:rPr>
        <w:t xml:space="preserve">Enclosure 3: Sustainable Development Goals (SDG) Mapping</w:t>
      </w:r>
    </w:p>
    <w:p>
      <w:pPr>
        <w:spacing w:after="100" w:before="100" w:line="360"/>
        <w:jc w:val="both"/>
      </w:pPr>
      <w:r>
        <w:rPr>
          <w:rFonts w:ascii="Times New Roman" w:cs="Times New Roman" w:eastAsia="Times New Roman" w:hAnsi="Times New Roman"/>
          <w:color w:val="000000"/>
          <w:sz w:val="24"/>
          <w:szCs w:val="24"/>
        </w:rPr>
        <w:t xml:space="preserve">In accordance with institutional guidelines (Annexure-II), the DocSort system was mapped to the United Nations Sustainable Development Goals as detailed in Table C.1.</w:t>
      </w:r>
    </w:p>
    <w:p>
      <w:pPr>
        <w:spacing w:after="60" w:before="120"/>
        <w:jc w:val="center"/>
      </w:pPr>
      <w:r>
        <w:rPr>
          <w:rFonts w:ascii="Times New Roman" w:cs="Times New Roman" w:eastAsia="Times New Roman" w:hAnsi="Times New Roman"/>
          <w:b/>
          <w:bCs/>
          <w:color w:val="000000"/>
          <w:sz w:val="22"/>
          <w:szCs w:val="22"/>
        </w:rPr>
        <w:t xml:space="preserve">Table C.1: Mapping of DocSort to Sustainable Development Goals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2257"/>
        <w:gridCol w:w="2708"/>
      </w:tblGrid>
      <w:tr>
        <w:tc>
          <w:tcPr>
            <w:tcW w:type="pct" w:w="10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SDG Goal</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Title</w:t>
            </w:r>
          </w:p>
        </w:tc>
        <w:tc>
          <w:tcPr>
            <w:tcW w:type="pct" w:w="125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Prescribed Domain (Annexure-II)</w:t>
            </w:r>
          </w:p>
        </w:tc>
        <w:tc>
          <w:tcPr>
            <w:tcW w:type="pct" w:w="1500"/>
            <w:tcBorders>
              <w:top w:val="single" w:color="555555" w:sz="4"/>
              <w:left w:val="none"/>
              <w:bottom w:val="single" w:color="555555" w:sz="4"/>
              <w:right w:val="none"/>
            </w:tcBorders>
          </w:tcPr>
          <w:p>
            <w:pPr>
              <w:spacing w:after="80" w:before="80"/>
              <w:jc w:val="left"/>
            </w:pPr>
            <w:r>
              <w:rPr>
                <w:rFonts w:ascii="Times New Roman" w:cs="Times New Roman" w:eastAsia="Times New Roman" w:hAnsi="Times New Roman"/>
                <w:b/>
                <w:bCs/>
                <w:color w:val="000000"/>
                <w:sz w:val="22"/>
                <w:szCs w:val="22"/>
              </w:rPr>
              <w:t xml:space="preserve">DocSort Project Alignment</w:t>
            </w:r>
          </w:p>
        </w:tc>
      </w:tr>
      <w:tr>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SDG 16</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Peace, Justice and Strong Institutions</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e-Governance platforms, transparent systems, digital forensics</w:t>
            </w:r>
          </w:p>
        </w:tc>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Enforces transparency in public procurement by verifying compliance with CVC and GFR guidelines, creating a tamper-resistant audit trail.</w:t>
            </w:r>
          </w:p>
        </w:tc>
      </w:tr>
      <w:tr>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SDG 9</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Industry, Innovation and Infrastructure</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Development of intelligent systems, scalable cloud infrastructure</w:t>
            </w:r>
          </w:p>
        </w:tc>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Implements an energy-efficient two-stage NLP triage engine running on standard CPU hardware without costly GPU infrastructure.</w:t>
            </w:r>
          </w:p>
        </w:tc>
      </w:tr>
      <w:tr>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SDG 12</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Responsible Consumption and Production</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Supply chain transparency, resource management algorithms</w:t>
            </w:r>
          </w:p>
        </w:tc>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Ensures public procurement transactions adhere to mandatory GeM green procurement guidelines and financial threshold rules.</w:t>
            </w:r>
          </w:p>
        </w:tc>
      </w:tr>
      <w:tr>
        <w:tc>
          <w:tcPr>
            <w:tcW w:type="pct" w:w="10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bCs/>
                <w:color w:val="000000"/>
                <w:sz w:val="22"/>
                <w:szCs w:val="22"/>
              </w:rPr>
              <w:t xml:space="preserve">SDG 8</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Decent Work and Economic Growth</w:t>
            </w:r>
          </w:p>
        </w:tc>
        <w:tc>
          <w:tcPr>
            <w:tcW w:type="pct" w:w="125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Automation, digital platforms for remote work, upskilling</w:t>
            </w:r>
          </w:p>
        </w:tc>
        <w:tc>
          <w:tcPr>
            <w:tcW w:type="pct" w:w="1500"/>
            <w:tcBorders>
              <w:top w:val="single" w:color="555555" w:sz="4"/>
              <w:left w:val="none"/>
              <w:bottom w:val="single" w:color="555555"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Automates clerical spreadsheet bookkeeping, saving compliance staff over 4 hours per document batch and eliminating contractual disputes.</w:t>
            </w:r>
          </w:p>
        </w:tc>
      </w:tr>
    </w:tbl>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2026-10-22T05:54:46.602Z</dcterms:created>
  <dcterms:modified xsi:type="dcterms:W3CDTF">2026-10-22T05:54:46.603Z</dcterms:modified>
</cp:coreProperties>
</file>

<file path=docProps/custom.xml><?xml version="1.0" encoding="utf-8"?>
<Properties xmlns="http://schemas.openxmlformats.org/officeDocument/2006/custom-properties" xmlns:vt="http://schemas.openxmlformats.org/officeDocument/2006/docPropsVTypes"/>
</file>