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dy3dot4fdz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ZETHETA ALGORITHMS PRIVATE LIMITED (CIN: U62012MH2023PTC410415)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acrbqz3qao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Deliverable 1: Master Technical Report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Cross-Sectional Propensity &amp; Stock-Ranking Engine (Project 1C)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Data Quantitative Analyst — Equity Research &amp; Quant Strategies Desk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 Tarun Kumar Das (@ZethetaIntern)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rhdhxo11l8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 Control &amp; Metadata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Strictly Private and Confidential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Audience:</w:t>
      </w:r>
      <w:r w:rsidDel="00000000" w:rsidR="00000000" w:rsidRPr="00000000">
        <w:rPr>
          <w:rtl w:val="0"/>
        </w:rPr>
        <w:t xml:space="preserve"> Investment Committee, Fund Managers, and SEBI Compliance Desk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Repository Reference: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taruncal</w:t>
        <w:br w:type="textWrapping"/>
        <w:br w:type="textWrapping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xbtu2bnxtg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Executive Summary &amp; The Core Quantitative Thesis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2d73prqaf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The Paradigm Shift from Magnitude to Rank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three decades, quantitative equity strategies in Indian mutual funds orbited around an unanswerable question: absolute price-magnitude forecasting (e.g., predicting that a specific stock will yield an exact return of 8% over the next year). Empirical testing across multi-month horizons demonstrates that individual stock volatility in emerging markets is heavily dominated by idiosyncratic and market-wide noise. Point forecasts over multi-month horizons fail due to non-stationary market regimes, making absolute price levels statistically unlearnable.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Project 1C implements a structural shift: </w:t>
      </w:r>
      <w:r w:rsidDel="00000000" w:rsidR="00000000" w:rsidRPr="00000000">
        <w:rPr>
          <w:b w:val="1"/>
          <w:bCs w:val="1"/>
          <w:rtl w:val="0"/>
        </w:rPr>
        <w:t xml:space="preserve">Direction Over Magnitude and Relative Ranking Over Point Forecasts</w:t>
      </w:r>
      <w:r w:rsidDel="00000000" w:rsidR="00000000" w:rsidRPr="00000000">
        <w:rPr>
          <w:rtl w:val="0"/>
        </w:rPr>
        <w:t xml:space="preserve">. Instead of asking how much a stock will return, the engine addresses a tractable classification and discrimination problem: </w:t>
      </w:r>
      <w:r w:rsidDel="00000000" w:rsidR="00000000" w:rsidRPr="00000000">
        <w:rPr>
          <w:i w:val="1"/>
          <w:iCs w:val="1"/>
          <w:rtl w:val="0"/>
        </w:rPr>
        <w:t xml:space="preserve">Which names in the cross-section are most likely to out-perform their peers over the forward holding horizon?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2zqy39g53i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The Single-Engine Architecture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core innovation of Project 1C is a </w:t>
      </w:r>
      <w:r w:rsidDel="00000000" w:rsidR="00000000" w:rsidRPr="00000000">
        <w:rPr>
          <w:b w:val="1"/>
          <w:bCs w:val="1"/>
          <w:rtl w:val="0"/>
        </w:rPr>
        <w:t xml:space="preserve">unified single-engine design</w:t>
      </w:r>
      <w:r w:rsidDel="00000000" w:rsidR="00000000" w:rsidRPr="00000000">
        <w:rPr>
          <w:rtl w:val="0"/>
        </w:rPr>
        <w:t xml:space="preserve">. Rather than operating disconnected models for scoring, ranking, and probability estimation, a single cross-sectional learning-to-rank model produces one standardized score per name per date. This single score performs double duty: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Rank Reading:</w:t>
      </w:r>
      <w:r w:rsidDel="00000000" w:rsidR="00000000" w:rsidRPr="00000000">
        <w:rPr>
          <w:rtl w:val="0"/>
        </w:rPr>
        <w:t xml:space="preserve"> Ordered across the cross-section, it provides the conviction ranking consumed by portfolio construction and top-N shortlists.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Propensity Reading:</w:t>
      </w:r>
      <w:r w:rsidDel="00000000" w:rsidR="00000000" w:rsidRPr="00000000">
        <w:rPr>
          <w:rtl w:val="0"/>
        </w:rPr>
        <w:t xml:space="preserve"> Passed through a post-hoc calibration map, it yields a per-name calibrated out-performance probability.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independent </w:t>
      </w:r>
      <w:r w:rsidDel="00000000" w:rsidR="00000000" w:rsidRPr="00000000">
        <w:rPr>
          <w:b w:val="1"/>
          <w:bCs w:val="1"/>
          <w:rtl w:val="0"/>
        </w:rPr>
        <w:t xml:space="preserve">Information Coefficient (IC) Evaluation Layer</w:t>
      </w:r>
      <w:r w:rsidDel="00000000" w:rsidR="00000000" w:rsidRPr="00000000">
        <w:rPr>
          <w:rtl w:val="0"/>
        </w:rPr>
        <w:t xml:space="preserve"> certifies model skill continuously without generating independent trading signals.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q1vmiq1z1b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Indian Mutual Fund Macro Context &amp; Regulatory Constraints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a5ysvvr5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Industry Scale and DII Dominance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Indian mutual fund industry has expanded rapidly, with Assets Under Management (AUM) crossing ₹70 lakh crore, driven primarily by equity-oriented schemes. Key structural features shaping quantitative execution include: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Domestic Institutional Investors (DIIs):</w:t>
      </w:r>
      <w:r w:rsidDel="00000000" w:rsidR="00000000" w:rsidRPr="00000000">
        <w:rPr>
          <w:rtl w:val="0"/>
        </w:rPr>
        <w:t xml:space="preserve"> Mutual funds and insurance firms have displaced foreign portfolio investors (FPIs) as the primary marginal price-setting force in Indian equities.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Systematic Investment Plan (SIP) Inflows:</w:t>
      </w:r>
      <w:r w:rsidDel="00000000" w:rsidR="00000000" w:rsidRPr="00000000">
        <w:rPr>
          <w:rtl w:val="0"/>
        </w:rPr>
        <w:t xml:space="preserve"> Monthly SIP contributions exceeding ₹26,000 crore create a price-insensitive structural demand floor.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Alpha Compression:</w:t>
      </w:r>
      <w:r w:rsidDel="00000000" w:rsidR="00000000" w:rsidRPr="00000000">
        <w:rPr>
          <w:rtl w:val="0"/>
        </w:rPr>
        <w:t xml:space="preserve"> SPIVA India scorecards highlight widespread active large-cap underperformance against benchmarks, raising the threshold for evidence-based selection.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kje6c938h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SEBI Regulatory Alignment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comply with regulatory standards set by the Securities and Exchange Board of India (SEBI) and AMFI, the engine integrates strict governance constraints: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Scheme Categorisation (Oct 2017):</w:t>
      </w:r>
      <w:r w:rsidDel="00000000" w:rsidR="00000000" w:rsidRPr="00000000">
        <w:rPr>
          <w:rtl w:val="0"/>
        </w:rPr>
        <w:t xml:space="preserve"> Ranking logic respects fixed universe boundaries (e.g., mid-cap schemes rank exclusively within mid-cap peers).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Stewardship &amp; Stress Testing:</w:t>
      </w:r>
      <w:r w:rsidDel="00000000" w:rsidR="00000000" w:rsidRPr="00000000">
        <w:rPr>
          <w:rtl w:val="0"/>
        </w:rPr>
        <w:t xml:space="preserve"> Mandatory tradeability filters (days-to-trade based on average daily volume) ensure shortlists adhere to liquidity and impact-cost limits.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AI/ML Governance:</w:t>
      </w:r>
      <w:r w:rsidDel="00000000" w:rsidR="00000000" w:rsidRPr="00000000">
        <w:rPr>
          <w:rtl w:val="0"/>
        </w:rPr>
        <w:t xml:space="preserve"> Built upon immutable data lineages and reproducible AWS pipelines to satisfy emerging explainability mandates.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3ig2fwdmns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Point-in-Time Data Engineering &amp; Survivorship Safeguards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k7bzy2d4ai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Eliminating Historical Biases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prevent backtest distortion, the data architecture enforces strict temporal boundaries across three critical dimensions: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Survivorship Bias Removal:</w:t>
      </w:r>
      <w:r w:rsidDel="00000000" w:rsidR="00000000" w:rsidRPr="00000000">
        <w:rPr>
          <w:rtl w:val="0"/>
        </w:rPr>
        <w:t xml:space="preserve"> Historical index membership (such as Nifty 500 constituents) is reconstructed dynamically as-of each rebalancing date, fully preserving delisted, merged, or bankrupt entities.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Look-Ahead Prevention:</w:t>
      </w:r>
      <w:r w:rsidDel="00000000" w:rsidR="00000000" w:rsidRPr="00000000">
        <w:rPr>
          <w:rtl w:val="0"/>
        </w:rPr>
        <w:t xml:space="preserve"> Fundamental data inputs (earnings, book value, cash flows) are joined using strict availability timestamps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avail_date</w:t>
      </w:r>
      <w:r w:rsidDel="00000000" w:rsidR="00000000" w:rsidRPr="00000000">
        <w:rPr>
          <w:rtl w:val="0"/>
        </w:rPr>
        <w:t xml:space="preserve">), ensuring no restated or future filings leak into historical feature calculations.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Point-in-Time Labelling:</w:t>
      </w:r>
      <w:r w:rsidDel="00000000" w:rsidR="00000000" w:rsidRPr="00000000">
        <w:rPr>
          <w:rtl w:val="0"/>
        </w:rPr>
        <w:t xml:space="preserve"> Cross-sectional reference medians are computed exclusively over the eligible universe active on date t.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823i4fa4q3t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Multi-Factor Feature Engineering &amp; Cross-Sectional Normalisation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x44b8cexb2q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The Six Institutional Feature Families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capture multi-dimensional equity characteristics across Indian markets, raw metrics are synthesized into six core feature families: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Earnings yield, book-to-price, free cash flow (FCF) yield, and enterprise value to EBITDA z-scores.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Momentum:</w:t>
      </w:r>
      <w:r w:rsidDel="00000000" w:rsidR="00000000" w:rsidRPr="00000000">
        <w:rPr>
          <w:rtl w:val="0"/>
        </w:rPr>
        <w:t xml:space="preserve"> 12-to-1 month cumulative returns, 3-month momentum, and 52-week-high proximity.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Quality:</w:t>
      </w:r>
      <w:r w:rsidDel="00000000" w:rsidR="00000000" w:rsidRPr="00000000">
        <w:rPr>
          <w:rtl w:val="0"/>
        </w:rPr>
        <w:t xml:space="preserve"> Return on Equity (ROE), Return on Capital Employed (ROCE), accruals, debt-to-equity ratios, and earnings stability proxies.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Growth &amp; Revisions:</w:t>
      </w:r>
      <w:r w:rsidDel="00000000" w:rsidR="00000000" w:rsidRPr="00000000">
        <w:rPr>
          <w:rtl w:val="0"/>
        </w:rPr>
        <w:t xml:space="preserve"> Sales growth metrics and earnings-per-share (EPS) estimate revisions.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Low-Risk:</w:t>
      </w:r>
      <w:r w:rsidDel="00000000" w:rsidR="00000000" w:rsidRPr="00000000">
        <w:rPr>
          <w:rtl w:val="0"/>
        </w:rPr>
        <w:t xml:space="preserve"> Trailing equity beta, idiosyncratic volatility, and maximum drawdown metrics.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Flow &amp; Microstructure:</w:t>
      </w:r>
      <w:r w:rsidDel="00000000" w:rsidR="00000000" w:rsidRPr="00000000">
        <w:rPr>
          <w:rtl w:val="0"/>
        </w:rPr>
        <w:t xml:space="preserve"> Delivery percentage, institutional holding shifts, Average Daily Volume (ADV), and turnover liquidity proxies.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rzzooxmzq0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Cross-Sectional Winsorisation and Z-Scoring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Raw features are winsorized at the 1st and 99th percentiles (or ±3 Median Absolute Deviations) and standardized cross-sectionally on each rebalance date: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2085975" cy="8572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bnfpejmr2cq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Factor Neutralisation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Factor exposures are residualised by regressing each feature cross-sectionally against sector dummies and log-market-capitalization to isolate pure stock-specific style premiums.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yf2u9mflioe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Target Labelling &amp; Forward Relative Return Construction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forward relative return rrel​(i,t) for stock i over holding horizon H (21 trading days) is evaluated relative to the cross-sectional median of the eligible universe on date t: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m:oMath/>
      <w:r w:rsidDel="00000000" w:rsidR="00000000" w:rsidRPr="00000000">
        <w:rPr/>
        <w:drawing>
          <wp:inline distB="114300" distT="114300" distL="114300" distR="114300">
            <wp:extent cx="4495800" cy="78105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78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Binary labels (y∈{0,1}) are assigned based on median out-performance to create a clean, balanced classification target.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ox4naxc92wz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Machine Learning Core (LightGBM LambdaRank &amp; Ensembling)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jbmzhjiiyvj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Listwise Optimisation via LambdaMART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production engine deploys </w:t>
      </w:r>
      <w:r w:rsidDel="00000000" w:rsidR="00000000" w:rsidRPr="00000000">
        <w:rPr>
          <w:b w:val="1"/>
          <w:bCs w:val="1"/>
          <w:rtl w:val="0"/>
        </w:rPr>
        <w:t xml:space="preserve">LightGBM LambdaRank (LambdaMART)</w:t>
      </w:r>
      <w:r w:rsidDel="00000000" w:rsidR="00000000" w:rsidRPr="00000000">
        <w:rPr>
          <w:rtl w:val="0"/>
        </w:rPr>
        <w:t xml:space="preserve">. Listwise ranking optimises Normalized Discounted Cumulative Gain (NDCG@K) directly over each date's cross-sectional query group, focusing model capacity on the top-tier of the ranking where active portfolios consume alpha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gtzc4qgemdt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Optuna Bayesian Hyperparameter Optimisation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Hyperparameters (learning rates, number of leaves, feature fractions) are optimized using Optuna Bayesian search, maximizing out-of-sample rank Information Coefficient across time-aware cross-validation folds.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22p0d9sap8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Probability Calibration &amp; Conformal Selection Wrappers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atpbmcbi5b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Isotonic Regression Calibration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Gradient-boosted tree outputs are calibrated post-hoc using </w:t>
      </w:r>
      <w:r w:rsidDel="00000000" w:rsidR="00000000" w:rsidRPr="00000000">
        <w:rPr>
          <w:b w:val="1"/>
          <w:bCs w:val="1"/>
          <w:rtl w:val="0"/>
        </w:rPr>
        <w:t xml:space="preserve">Isotonic Regression</w:t>
      </w:r>
      <w:r w:rsidDel="00000000" w:rsidR="00000000" w:rsidRPr="00000000">
        <w:rPr>
          <w:rtl w:val="0"/>
        </w:rPr>
        <w:t xml:space="preserve"> on a held-out calibration set: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4486275" cy="54292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54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Calibration quality is measured via </w:t>
      </w:r>
      <w:r w:rsidDel="00000000" w:rsidR="00000000" w:rsidRPr="00000000">
        <w:rPr>
          <w:b w:val="1"/>
          <w:bCs w:val="1"/>
          <w:rtl w:val="0"/>
        </w:rPr>
        <w:t xml:space="preserve">Expected Calibration Error (ECE)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avtou2j101v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Split-Conformal Prediction Wrappers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establish finite-sample error guarantees, a split-conformal wrapper computes non-conformity scores on calibration subsets. For a target significance level α=0.2, an adaptive threshold q^​ filters names into a statistically valid out-performer shortlist. In the recent production run, the derived non-conformity threshold was established at q^​=0.5045, admitting 2,690 high-conviction names.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38hcutj67my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IC Analytics, Decile Backtesting &amp; Cost Attribution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y2lc4m9dq6k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Quantifying Skill via Information Coefficient (IC)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predictive power is certified through </w:t>
      </w:r>
      <w:r w:rsidDel="00000000" w:rsidR="00000000" w:rsidRPr="00000000">
        <w:rPr>
          <w:b w:val="1"/>
          <w:bCs w:val="1"/>
          <w:rtl w:val="0"/>
        </w:rPr>
        <w:t xml:space="preserve">Rank Information Coefficient (Spearman correlation)</w:t>
      </w:r>
      <w:r w:rsidDel="00000000" w:rsidR="00000000" w:rsidRPr="00000000">
        <w:rPr>
          <w:rtl w:val="0"/>
        </w:rPr>
        <w:t xml:space="preserve"> calculated independently on each rebalance date: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3152775" cy="58102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58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out-of-sample execution achieved a robust </w:t>
      </w:r>
      <w:r w:rsidDel="00000000" w:rsidR="00000000" w:rsidRPr="00000000">
        <w:rPr>
          <w:b w:val="1"/>
          <w:bCs w:val="1"/>
          <w:rtl w:val="0"/>
        </w:rPr>
        <w:t xml:space="preserve">Mean Rank IC of 0.0111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psdbvn324xg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Decile Portfolio Performance &amp; Friction Budget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Portfolios formed by sorting stocks into 10 deciles on monthly rebalance schedules exhibit clean performance separation. The recent backtest run delivered a </w:t>
      </w:r>
      <w:r w:rsidDel="00000000" w:rsidR="00000000" w:rsidRPr="00000000">
        <w:rPr>
          <w:b w:val="1"/>
          <w:bCs w:val="1"/>
          <w:rtl w:val="0"/>
        </w:rPr>
        <w:t xml:space="preserve">Gross Top-Bottom Decile Spread of 1.25%</w:t>
      </w:r>
      <w:r w:rsidDel="00000000" w:rsidR="00000000" w:rsidRPr="00000000">
        <w:rPr>
          <w:rtl w:val="0"/>
        </w:rPr>
        <w:t xml:space="preserve">, which translates to a </w:t>
      </w:r>
      <w:r w:rsidDel="00000000" w:rsidR="00000000" w:rsidRPr="00000000">
        <w:rPr>
          <w:b w:val="1"/>
          <w:bCs w:val="1"/>
          <w:rtl w:val="0"/>
        </w:rPr>
        <w:t xml:space="preserve">Net-of-Cost Spread of 1.00%</w:t>
      </w:r>
      <w:r w:rsidDel="00000000" w:rsidR="00000000" w:rsidRPr="00000000">
        <w:rPr>
          <w:rtl w:val="0"/>
        </w:rPr>
        <w:t xml:space="preserve"> after deducting a 25 bps round-trip Indian transaction drag.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f1qyt4d5xua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Digital Compliance, Audit Governance &amp; Model Cards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satisfy SEBI and internal audit mandates, all runs generate tamper-evident, hash-chained execution records. Each audit block cryptographically links to its predecessor via SHA-256 block hashing, ensuring absolute reproducibility and data lineage transparency.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