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Seattle, WA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Full-Stack AI Platform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Architected and shipped an AI-powered biomedical learning platform end-to-end, designing product architecture, building all 13 interactive modules, and enabling active use by USF SHIELD Lab students and instructors.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the production frontend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delivering adaptive student exercises and instructor curriculum tools used across multiple course workflows.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</w:t>
      </w:r>
      <w:r>
        <w:rPr>
          <w:b/>
          <w:i w:val="0"/>
          <w:sz w:val="19"/>
        </w:rPr>
        <w:t>Node.js</w:t>
      </w:r>
      <w:r>
        <w:rPr>
          <w:sz w:val="19"/>
        </w:rPr>
        <w:t xml:space="preserve"> backend services and integrated a 20B-parameter LLM via the </w:t>
      </w:r>
      <w:r>
        <w:rPr>
          <w:b/>
          <w:i w:val="0"/>
          <w:sz w:val="19"/>
        </w:rPr>
        <w:t>Groq API</w:t>
      </w:r>
      <w:r>
        <w:rPr>
          <w:sz w:val="19"/>
        </w:rPr>
        <w:t>, supporting 60+ concurrent users with sub-2s response latency for model-comparison and AI-assisted learning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schemas for authentication, progress tracking, and role-based learning analytics, supporting multi-role access patterns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Implemented shared TypeScript contracts and validation across frontend and backend services, reducing integration defects by 30% and accelerating feature delivery across sprint cycles.</w:t>
      </w:r>
    </w:p>
    <w:p>
      <w:pPr>
        <w:pStyle w:val="ListBullet"/>
        <w:spacing w:after="10"/>
        <w:ind w:left="216"/>
      </w:pPr>
      <w:r>
        <w:rPr>
          <w:sz w:val="19"/>
        </w:rPr>
        <w:t>Translated researcher and student feedback into production releases on 2-week iteration cycles, shipping 8+ major module updates without disrupting live classroom usage.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Java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integrations with </w:t>
      </w:r>
      <w:r>
        <w:rPr>
          <w:b/>
          <w:i w:val="0"/>
          <w:sz w:val="19"/>
        </w:rPr>
        <w:t>MongoDB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SQL Server</w:t>
      </w:r>
      <w:r>
        <w:rPr>
          <w:sz w:val="19"/>
        </w:rPr>
        <w:t xml:space="preserve">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contracts across microservices, cutting frontend-backend integration defects by 25% and improving release stability for consuming teams.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>, reaching 70% backend coverage and reducing production regressions on critical auth paths.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Centralized Prompt Registry for Clinical AI Experimentation</w:t>
      </w:r>
    </w:p>
    <w:p>
      <w:pPr>
        <w:pStyle w:val="ListBullet"/>
        <w:spacing w:after="10"/>
        <w:ind w:left="216"/>
      </w:pPr>
      <w:r>
        <w:rPr>
          <w:sz w:val="19"/>
        </w:rPr>
        <w:t>Developed a centralized prompt registry microservice for clinical LLM applications, supporting versioning, rollback, and dynamic rendering across 40+ production AI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real-time A/B experimentation infrastructure for OpenAI and Gemini models on treatment-recommendation tasks, improving winning-variant selection speed by 3x.</w:t>
      </w:r>
    </w:p>
    <w:p>
      <w:pPr>
        <w:pStyle w:val="ListBullet"/>
        <w:spacing w:after="10"/>
        <w:ind w:left="216"/>
      </w:pPr>
      <w:r>
        <w:rPr>
          <w:sz w:val="19"/>
        </w:rPr>
        <w:t>Built observability dashboards tracking latency, token throughput, cost, and generation quality, reducing mean time to detect anomalies by 40%.</w:t>
      </w:r>
    </w:p>
    <w:p>
      <w:pPr>
        <w:pStyle w:val="ListBullet"/>
        <w:spacing w:after="10"/>
        <w:ind w:left="216"/>
      </w:pPr>
      <w:r>
        <w:rPr>
          <w:sz w:val="19"/>
        </w:rPr>
        <w:t>Designed canary traffic routing for production prompt rollouts, enabling zero-downtime updates across 12 prompt families in a healthcare environment.</w:t>
      </w:r>
    </w:p>
    <w:p>
      <w:pPr>
        <w:spacing w:before="20" w:after="20"/>
      </w:pPr>
      <w:r>
        <w:rPr>
          <w:b/>
          <w:sz w:val="19"/>
        </w:rPr>
        <w:t>Scalable LLM Infrastructure for Clinical Note Summarization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Containerized and orchestrated open-source LLM inference services on </w:t>
      </w:r>
      <w:r>
        <w:rPr>
          <w:b/>
          <w:i w:val="0"/>
          <w:sz w:val="19"/>
        </w:rPr>
        <w:t>AWS</w:t>
      </w:r>
      <w:r>
        <w:rPr>
          <w:sz w:val="19"/>
        </w:rPr>
        <w:t xml:space="preserve"> with GPU autoscaling, supporting 10x traffic spikes without manual intervention for clinical note summarization.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Infrastructure-as-Code with </w:t>
      </w:r>
      <w:r>
        <w:rPr>
          <w:b/>
          <w:i w:val="0"/>
          <w:sz w:val="19"/>
        </w:rPr>
        <w:t>Terraform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GitHub Actions</w:t>
      </w:r>
      <w:r>
        <w:rPr>
          <w:sz w:val="19"/>
        </w:rPr>
        <w:t xml:space="preserve"> CI/CD, reducing environment provisioning time from 4 hours to 25 minutes.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Integrated </w:t>
      </w:r>
      <w:r>
        <w:rPr>
          <w:b/>
          <w:i w:val="0"/>
          <w:sz w:val="19"/>
        </w:rPr>
        <w:t>Prometheus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Grafana</w:t>
      </w:r>
      <w:r>
        <w:rPr>
          <w:sz w:val="19"/>
        </w:rPr>
        <w:t xml:space="preserve"> monitoring, achieving 99.9% uptime across production AI inference workloads.</w:t>
      </w:r>
    </w:p>
    <w:p>
      <w:pPr>
        <w:pStyle w:val="ListBullet"/>
        <w:spacing w:after="10"/>
        <w:ind w:left="216"/>
      </w:pPr>
      <w:r>
        <w:rPr>
          <w:sz w:val="19"/>
        </w:rPr>
        <w:t>Optimized inference via quantization and distributed serving, increasing throughput by 2.4x while holding p95 latency under 800ms.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TypeScript | Python | Java | SQL</w:t>
      </w:r>
    </w:p>
    <w:p>
      <w:pPr>
        <w:spacing w:after="20"/>
      </w:pPr>
      <w:r>
        <w:rPr>
          <w:b/>
          <w:i w:val="0"/>
          <w:sz w:val="19"/>
        </w:rPr>
        <w:t>Frontend &amp; Backend:</w:t>
      </w:r>
      <w:r>
        <w:rPr>
          <w:sz w:val="19"/>
        </w:rPr>
        <w:t xml:space="preserve"> React | Next.js | HTML/CSS | Node.js | Express.js | Spring Boot | FastAPI | REST APIs | Microservices</w:t>
      </w:r>
    </w:p>
    <w:p>
      <w:pPr>
        <w:spacing w:after="20"/>
      </w:pPr>
      <w:r>
        <w:rPr>
          <w:b/>
          <w:i w:val="0"/>
          <w:sz w:val="19"/>
        </w:rPr>
        <w:t>Data &amp; Cloud:</w:t>
      </w:r>
      <w:r>
        <w:rPr>
          <w:sz w:val="19"/>
        </w:rPr>
        <w:t xml:space="preserve"> PostgreSQL | MongoDB | Redis | SQL Server | AWS | Docker | Jenkins | GitHub Actions | Linux</w:t>
      </w:r>
    </w:p>
    <w:p>
      <w:pPr>
        <w:spacing w:after="20"/>
      </w:pPr>
      <w:r>
        <w:rPr>
          <w:b/>
          <w:i w:val="0"/>
          <w:sz w:val="19"/>
        </w:rPr>
        <w:t>AI &amp; Observability:</w:t>
      </w:r>
      <w:r>
        <w:rPr>
          <w:sz w:val="19"/>
        </w:rPr>
        <w:t xml:space="preserve"> LangChain | LLM Integration | Prompt Engineering | Prometheus | Grafana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Jest | Cypress | JUnit</w:t>
      </w:r>
    </w:p>
    <w:p>
      <w:pPr>
        <w:spacing w:after="20"/>
      </w:pPr>
      <w:r>
        <w:rPr>
          <w:b/>
          <w:i w:val="0"/>
          <w:sz w:val="19"/>
        </w:rPr>
        <w:t>Programming Concepts:</w:t>
      </w:r>
      <w:r>
        <w:rPr>
          <w:sz w:val="19"/>
        </w:rPr>
        <w:t xml:space="preserve"> APIs | OOP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