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40" w:line="266"/>
        <w:ind w:right="0" w:left="0" w:firstLine="0"/>
        <w:jc w:val="left"/>
        <w:rPr>
          <w:rFonts w:ascii="Nova Mono" w:hAnsi="Nova Mono" w:cs="Nova Mono" w:eastAsia="Nova Mono"/>
          <w:color w:val="auto"/>
          <w:spacing w:val="0"/>
          <w:position w:val="0"/>
          <w:sz w:val="30"/>
          <w:shd w:fill="F8F8F8" w:val="clear"/>
        </w:rPr>
      </w:pPr>
    </w:p>
    <w:p>
      <w:pPr>
        <w:spacing w:before="0" w:after="240" w:line="266"/>
        <w:ind w:right="0" w:left="0" w:firstLine="0"/>
        <w:jc w:val="left"/>
        <w:rPr>
          <w:rFonts w:ascii="Nova Mono" w:hAnsi="Nova Mono" w:cs="Nova Mono" w:eastAsia="Nova Mono"/>
          <w:color w:val="auto"/>
          <w:spacing w:val="0"/>
          <w:position w:val="0"/>
          <w:sz w:val="30"/>
          <w:shd w:fill="F8F8F8" w:val="clear"/>
        </w:rPr>
      </w:pPr>
      <w:r>
        <w:rPr>
          <w:rFonts w:ascii="Nova Mono" w:hAnsi="Nova Mono" w:cs="Nova Mono" w:eastAsia="Nova Mono"/>
          <w:color w:val="auto"/>
          <w:spacing w:val="0"/>
          <w:position w:val="0"/>
          <w:sz w:val="30"/>
          <w:shd w:fill="F8F8F8" w:val="clear"/>
        </w:rPr>
        <w:t xml:space="preserve">Azre storage account Name: sttfstate56838</w:t>
      </w:r>
    </w:p>
    <w:p>
      <w:pPr>
        <w:spacing w:before="0" w:after="240" w:line="26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0"/>
          <w:shd w:fill="F8F8F8" w:val="clear"/>
        </w:rPr>
      </w:pPr>
      <w:r>
        <w:rPr>
          <w:rFonts w:ascii="Nova Mono" w:hAnsi="Nova Mono" w:cs="Nova Mono" w:eastAsia="Nova Mono"/>
          <w:color w:val="auto"/>
          <w:spacing w:val="0"/>
          <w:position w:val="0"/>
          <w:sz w:val="30"/>
          <w:shd w:fill="F8F8F8" w:val="clear"/>
        </w:rPr>
        <w:t xml:space="preserve">Card Auth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0"/>
          <w:shd w:fill="F8F8F8" w:val="clear"/>
        </w:rPr>
        <w:t xml:space="preserve">↔</w:t>
      </w:r>
      <w:r>
        <w:rPr>
          <w:rFonts w:ascii="Nova Mono" w:hAnsi="Nova Mono" w:cs="Nova Mono" w:eastAsia="Nova Mono"/>
          <w:color w:val="auto"/>
          <w:spacing w:val="0"/>
          <w:position w:val="0"/>
          <w:sz w:val="30"/>
          <w:shd w:fill="F8F8F8" w:val="clear"/>
        </w:rPr>
        <w:t xml:space="preserve"> Settlement Reconciliation </w:t>
      </w:r>
      <w:r>
        <w:rPr>
          <w:rFonts w:ascii="Calibri" w:hAnsi="Calibri" w:cs="Calibri" w:eastAsia="Calibri"/>
          <w:color w:val="auto"/>
          <w:spacing w:val="0"/>
          <w:position w:val="0"/>
          <w:sz w:val="30"/>
          <w:shd w:fill="F8F8F8" w:val="clear"/>
        </w:rPr>
        <w:t xml:space="preserve">— Azure/Fabric Build Roadmap (Senior-Grade Edition)</w:t>
      </w:r>
    </w:p>
    <w:p>
      <w:pPr>
        <w:spacing w:before="0" w:after="2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A phased plan for building this project while learning Azure and Fabric along the way. Estimates assume ~5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F8F8F8" w:val="clear"/>
        </w:rPr>
        <w:t xml:space="preserve">–8 hours/week of focused time. The sequencing matters more than the calendar.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8F8F8" w:val="clear"/>
        </w:rPr>
        <w:t xml:space="preserve">Total: ~8–9 weeks part-time.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240" w:line="31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9"/>
          <w:shd w:fill="F8F8F8" w:val="clear"/>
        </w:rPr>
        <w:t xml:space="preserve">Phase 0: Environment + IaC bootstrap (Week 1, ~6</w:t>
      </w:r>
      <w:r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  <w:t xml:space="preserve">–8 hrs)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Goal: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Working Azure subscription, Fabric capacity, a resource group you understand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and </w:t>
      </w:r>
      <w:r>
        <w:rPr>
          <w:rFonts w:ascii="Roboto" w:hAnsi="Roboto" w:cs="Roboto" w:eastAsia="Roboto"/>
          <w:i/>
          <w:color w:val="0D0D0D"/>
          <w:spacing w:val="0"/>
          <w:position w:val="0"/>
          <w:sz w:val="24"/>
          <w:shd w:fill="F8F8F8" w:val="clear"/>
        </w:rPr>
        <w:t xml:space="preserve">everything already in version control and Terraform from minute one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.</w:t>
      </w:r>
    </w:p>
    <w:p>
      <w:pPr>
        <w:numPr>
          <w:ilvl w:val="0"/>
          <w:numId w:val="6"/>
        </w:numPr>
        <w:spacing w:before="12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Create a GitHub repo 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before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touching the Azure portal. Every artifact of this project lives here.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Create Azure free trial or pay-as-you-go subscription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Create a Fabric trial capacity (60-day free trial 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F8F8F8" w:val="clear"/>
        </w:rPr>
        <w:t xml:space="preserve">— start only when ready to actively build, it's time-boxed)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Create one Resource Group for the project (e.g.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rg-card-recon-portfolio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)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NEW: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Bootstrap Terraform: provider config, remote state in an Azure Storage backend (state locking via blob lease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say this in interviews), and define the Resource Group + Key Vault </w:t>
      </w:r>
      <w:r>
        <w:rPr>
          <w:rFonts w:ascii="Roboto" w:hAnsi="Roboto" w:cs="Roboto" w:eastAsia="Roboto"/>
          <w:i/>
          <w:color w:val="0D0D0D"/>
          <w:spacing w:val="0"/>
          <w:position w:val="0"/>
          <w:sz w:val="24"/>
          <w:shd w:fill="F8F8F8" w:val="clear"/>
        </w:rPr>
        <w:t xml:space="preserve">in code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rather than clicking them into existence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NEW: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Understand the honest boundary: Terraform manages the </w:t>
      </w:r>
      <w:r>
        <w:rPr>
          <w:rFonts w:ascii="Roboto" w:hAnsi="Roboto" w:cs="Roboto" w:eastAsia="Roboto"/>
          <w:i/>
          <w:color w:val="0D0D0D"/>
          <w:spacing w:val="0"/>
          <w:position w:val="0"/>
          <w:sz w:val="24"/>
          <w:shd w:fill="F8F8F8" w:val="clear"/>
        </w:rPr>
        <w:t xml:space="preserve">Azure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resources (Event Hub, Key Vault, ADLS, Databricks workspace). Fabric items (Eventstream, Eventhouse, Data Activator) are 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not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in standard Terraform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use Fabric's built-in Git integration for those. Knowing this split is itself a current, senior-level detail most candidates don't know.</w: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Set up a spending alert in Cost Management ($20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F8F8F8" w:val="clear"/>
        </w:rPr>
        <w:t xml:space="preserve">–30 threshold) — before anything else</w:t>
      </w:r>
    </w:p>
    <w:p>
      <w:pPr>
        <w:numPr>
          <w:ilvl w:val="0"/>
          <w:numId w:val="6"/>
        </w:numPr>
        <w:spacing w:before="0" w:after="3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Key Vault via Terraform, store a dummy secret, retrieve it via Azure CLI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What you'll learn: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subscriptions, resource groups, RBAC basics, Key Vault, 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Terraform providers/state/backends, the Azure-vs-Fabric IaC split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.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Watch out for: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leaving Fabric capacity running unattended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pause it between sessions.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240" w:line="31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9"/>
          <w:shd w:fill="F8F8F8" w:val="clear"/>
        </w:rPr>
        <w:t xml:space="preserve">Phase 1: Streaming lane, end to end (Weeks 2</w:t>
      </w:r>
      <w:r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  <w:t xml:space="preserve">–3, ~12–16 hrs)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Goal: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Synthetic auth events flow from your laptop into Event Hub, through Eventstream, into Eventhouse, and show up in a Power BI tile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before you touch batch at all.</w:t>
      </w:r>
    </w:p>
    <w:p>
      <w:pPr>
        <w:numPr>
          <w:ilvl w:val="0"/>
          <w:numId w:val="13"/>
        </w:numPr>
        <w:spacing w:before="22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Synthetic auth generator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(Python)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Faker/numpy-based generator emitting JSON auth messages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Push to Event Hub via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azure-eventhub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NEW: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Structure it as a proper Python package (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src/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layout, config file for throughput/anomaly rates), not a loose script. Testable, installable, CI-able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24"/>
          <w:shd w:fill="auto" w:val="clear"/>
        </w:rPr>
        <w:t xml:space="preserve">— this matters in Phase 3.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Start simple: fixed rate, no anomalies yet 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auto" w:val="clear"/>
        </w:rPr>
        <w:t xml:space="preserve">— get the pipe working first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Event Hub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Namespace + event hub, partition keys and consumer groups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NEW: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Configure the </w:t>
      </w: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dead-letter queue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and deliberately push one malformed message to verify it lands there instead of silently vanishing or crashing your consumer. You'll reference this in Phase 4's drills.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Confirm messages landing via Portal metrics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Eventstream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Event Hub as source, one simple transform (filter declined auths or add a derived column), route to Eventhouse table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Eventhouse / KQL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First KQL queries against the live table: counts, group-by MCC, rolling averages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Slow down here 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auto" w:val="clear"/>
        </w:rPr>
        <w:t xml:space="preserve">— KQL is the most transferable skill in this phase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Power BI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DirectQuery to the Eventhouse table, one live tile: auths per minute or approval rate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NEW: CI from day one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GitHub Actions workflow: on every push/PR </w:t>
      </w:r>
      <w:r>
        <w:rPr>
          <w:rFonts w:ascii="Cambria Math" w:hAnsi="Cambria Math" w:cs="Cambria Math" w:eastAsia="Cambria Math"/>
          <w:color w:val="0D0D0D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ruff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lint +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pytest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on the generator package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Add the CI badge to your README. A green badge in week 2 signals engineering discipline before anyone reads a line of code.</w:t>
      </w:r>
    </w:p>
    <w:p>
      <w:pPr>
        <w:numPr>
          <w:ilvl w:val="0"/>
          <w:numId w:val="13"/>
        </w:numPr>
        <w:spacing w:before="0" w:after="3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Standing rule from here on: every new Azure resource goes into Terraform, never ClickOps-only.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Milestone check: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generator runs, Power BI tile updates near-real-time, CI green. Don't move to Phase 2 until this genuinely works.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240" w:line="31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9"/>
          <w:shd w:fill="F8F8F8" w:val="clear"/>
        </w:rPr>
        <w:t xml:space="preserve">Phase 2: Batch lane, independently (Week 4</w:t>
      </w:r>
      <w:r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  <w:t xml:space="preserve">–5, ~10–13 hrs)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Goal: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Synthetic settlement files land in ADLS and process through a Databricks medallion pipeline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completely separate from streaming.</w:t>
      </w:r>
    </w:p>
    <w:p>
      <w:pPr>
        <w:numPr>
          <w:ilvl w:val="0"/>
          <w:numId w:val="30"/>
        </w:numPr>
        <w:spacing w:before="22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Settlement file generator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(Python)</w:t>
      </w:r>
    </w:p>
    <w:p>
      <w:pPr>
        <w:numPr>
          <w:ilvl w:val="0"/>
          <w:numId w:val="3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Daily CSVs referencing auth_ids from Phase 1's generator (shared ID pool so they join later)</w:t>
      </w:r>
    </w:p>
    <w:p>
      <w:pPr>
        <w:numPr>
          <w:ilvl w:val="0"/>
          <w:numId w:val="3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Inject anomalies: missing settlements, amount mismatches, duplicates, late arrivals (T+5)</w:t>
      </w:r>
    </w:p>
    <w:p>
      <w:pPr>
        <w:numPr>
          <w:ilvl w:val="0"/>
          <w:numId w:val="3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NEW: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The anomaly definitions live in a shared config/constants module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auto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Phase 3's tests will import these exact cases as fixtures.</w:t>
      </w:r>
    </w:p>
    <w:p>
      <w:pPr>
        <w:numPr>
          <w:ilvl w:val="0"/>
          <w:numId w:val="3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ADLS Gen2 + Databricks</w:t>
      </w:r>
    </w:p>
    <w:p>
      <w:pPr>
        <w:numPr>
          <w:ilvl w:val="0"/>
          <w:numId w:val="3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NEW: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Storage account and Databricks workspace via Terraform, not portal</w:t>
      </w:r>
    </w:p>
    <w:p>
      <w:pPr>
        <w:numPr>
          <w:ilvl w:val="0"/>
          <w:numId w:val="3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Raw CSVs in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bronze/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container</w:t>
      </w:r>
    </w:p>
    <w:p>
      <w:pPr>
        <w:numPr>
          <w:ilvl w:val="0"/>
          <w:numId w:val="3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Small single-node cluster; bronze </w:t>
      </w:r>
      <w:r>
        <w:rPr>
          <w:rFonts w:ascii="Cambria Math" w:hAnsi="Cambria Math" w:cs="Cambria Math" w:eastAsia="Cambria Math"/>
          <w:color w:val="0D0D0D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 silver (parse/clean), silver </w:t>
      </w:r>
      <w:r>
        <w:rPr>
          <w:rFonts w:ascii="Cambria Math" w:hAnsi="Cambria Math" w:cs="Cambria Math" w:eastAsia="Cambria Math"/>
          <w:color w:val="0D0D0D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 gold (aggregate/dedupe)</w:t>
      </w:r>
    </w:p>
    <w:p>
      <w:pPr>
        <w:numPr>
          <w:ilvl w:val="0"/>
          <w:numId w:val="3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Unity Catalog basics if your workspace supports it</w:t>
      </w:r>
    </w:p>
    <w:p>
      <w:pPr>
        <w:numPr>
          <w:ilvl w:val="0"/>
          <w:numId w:val="3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NEW: Data quality checks in the silver layer</w:t>
      </w:r>
    </w:p>
    <w:p>
      <w:pPr>
        <w:numPr>
          <w:ilvl w:val="0"/>
          <w:numId w:val="30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Lightweight: schema validation, null checks on key fields, row-count sanity assertions between bronze and silver. Don't install Great Expectations for its own sake 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auto" w:val="clear"/>
        </w:rPr>
        <w:t xml:space="preserve">— hand-rolled checks are fine and easier to explain.</w:t>
      </w:r>
    </w:p>
    <w:p>
      <w:pPr>
        <w:numPr>
          <w:ilvl w:val="0"/>
          <w:numId w:val="3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NEW: Idempotent loading from the start</w:t>
      </w:r>
    </w:p>
    <w:p>
      <w:pPr>
        <w:numPr>
          <w:ilvl w:val="0"/>
          <w:numId w:val="30"/>
        </w:numPr>
        <w:spacing w:before="0" w:after="3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Load settlement files with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MERGE INTO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, not blind append. When Phase 4 makes you re-ingest a duplicate file, this pays for itself.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Milestone check: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clean gold-layer settlement table, independent of anything streaming-related.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240" w:line="31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9"/>
          <w:shd w:fill="F8F8F8" w:val="clear"/>
        </w:rPr>
        <w:t xml:space="preserve">Phase 3: Reconciliation join (Weeks 6</w:t>
      </w:r>
      <w:r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  <w:t xml:space="preserve">–7, ~13–16 hrs)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Goal: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Bring the two lanes together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and make the matching logic </w:t>
      </w:r>
      <w:r>
        <w:rPr>
          <w:rFonts w:ascii="Roboto" w:hAnsi="Roboto" w:cs="Roboto" w:eastAsia="Roboto"/>
          <w:i/>
          <w:color w:val="0D0D0D"/>
          <w:spacing w:val="0"/>
          <w:position w:val="0"/>
          <w:sz w:val="24"/>
          <w:shd w:fill="F8F8F8" w:val="clear"/>
        </w:rPr>
        <w:t xml:space="preserve">testable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.</w:t>
      </w:r>
    </w:p>
    <w:p>
      <w:pPr>
        <w:numPr>
          <w:ilvl w:val="0"/>
          <w:numId w:val="42"/>
        </w:numPr>
        <w:spacing w:before="22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Read Eventhouse auth table into Databricks (Kusto connector or OneLake/ADLS export 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F8F8F8" w:val="clear"/>
        </w:rPr>
        <w:t xml:space="preserve">— whichever your tier supports)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Stream-static join: auths vs. settlements, watermark/tolerance window (flag unsettled after 72 hrs)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Breaks table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: unmatched auths, unmatched settlements, amount mismatches, duplicates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Schedule as a Databricks job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NEW: Extract matching logic into importable Python modules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8F8F8" w:val="clear"/>
        </w:rPr>
        <w:t xml:space="preserve">— notebooks become thin orchestrators</w:t>
      </w:r>
    </w:p>
    <w:p>
      <w:pPr>
        <w:numPr>
          <w:ilvl w:val="0"/>
          <w:numId w:val="42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This is the single most senior-sounding structural decision in the project. Notebook spaghetti is untestable; a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recon/matching.py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package with pure functions is. Most Databricks portfolio projects are 100% notebooks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24"/>
          <w:shd w:fill="auto" w:val="clear"/>
        </w:rPr>
        <w:t xml:space="preserve">— yours won't be.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NEW: pytest suite on the matching logic, using your anomaly injections as fixtures</w:t>
      </w:r>
    </w:p>
    <w:p>
      <w:pPr>
        <w:numPr>
          <w:ilvl w:val="0"/>
          <w:numId w:val="42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Test cases: exact match, drift within tolerance (pass), drift outside tolerance (break), duplicate settlement, missing settlement, late arrival, one-to-many partial settlement</w:t>
      </w:r>
    </w:p>
    <w:p>
      <w:pPr>
        <w:numPr>
          <w:ilvl w:val="0"/>
          <w:numId w:val="42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If you can't write a test for a case, your matching logic doesn't handle it 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auto" w:val="clear"/>
        </w:rPr>
        <w:t xml:space="preserve">— the tests </w:t>
      </w:r>
      <w:r>
        <w:rPr>
          <w:rFonts w:ascii="Calibri" w:hAnsi="Calibri" w:cs="Calibri" w:eastAsia="Calibri"/>
          <w:i/>
          <w:color w:val="0D0D0D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auto" w:val="clear"/>
        </w:rPr>
        <w:t xml:space="preserve"> the specification.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NEW: Idempotent reconciliation runs</w:t>
      </w:r>
    </w:p>
    <w:p>
      <w:pPr>
        <w:numPr>
          <w:ilvl w:val="0"/>
          <w:numId w:val="42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Each run gets a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run_id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; breaks table writes via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MERGE INTO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. Re-running yesterday's batch must not double-count breaks. Interviewers ask this specifically.</w:t>
      </w:r>
    </w:p>
    <w:p>
      <w:pPr>
        <w:numPr>
          <w:ilvl w:val="0"/>
          <w:numId w:val="4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NEW: One-paragraph backfill design note in the README</w:t>
      </w:r>
    </w:p>
    <w:p>
      <w:pPr>
        <w:numPr>
          <w:ilvl w:val="0"/>
          <w:numId w:val="42"/>
        </w:numPr>
        <w:spacing w:before="0" w:after="3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"If the pipeline is down for 3 days, here's how I replay"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auto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a short, concrete answer beats an improvised one in interviews.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What you'll learn: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stream-static joins, watermarking, late-data handling, idempotency, testable pipeline design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the actual senior core of this project.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240" w:line="31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9"/>
          <w:shd w:fill="F8F8F8" w:val="clear"/>
        </w:rPr>
        <w:t xml:space="preserve">Phase 4: Failure drills (NEW </w:t>
      </w:r>
      <w:r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  <w:t xml:space="preserve">— Week 8, ~3–4 hrs)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Goal: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Break your own pipeline on purpose, and document what happened. This phase produces your best interview material.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i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Run each drill, observe, fix, and record it in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failure_drills.md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with the format: </w:t>
      </w:r>
      <w:r>
        <w:rPr>
          <w:rFonts w:ascii="Nova Mono" w:hAnsi="Nova Mono" w:cs="Nova Mono" w:eastAsia="Nova Mono"/>
          <w:i/>
          <w:color w:val="0D0D0D"/>
          <w:spacing w:val="0"/>
          <w:position w:val="0"/>
          <w:sz w:val="24"/>
          <w:shd w:fill="F8F8F8" w:val="clear"/>
        </w:rPr>
        <w:t xml:space="preserve">what I broke </w:t>
      </w:r>
      <w:r>
        <w:rPr>
          <w:rFonts w:ascii="Cambria Math" w:hAnsi="Cambria Math" w:cs="Cambria Math" w:eastAsia="Cambria Math"/>
          <w:i/>
          <w:color w:val="0D0D0D"/>
          <w:spacing w:val="0"/>
          <w:position w:val="0"/>
          <w:sz w:val="24"/>
          <w:shd w:fill="F8F8F8" w:val="clear"/>
        </w:rPr>
        <w:t xml:space="preserve">→</w:t>
      </w:r>
      <w:r>
        <w:rPr>
          <w:rFonts w:ascii="Nova Mono" w:hAnsi="Nova Mono" w:cs="Nova Mono" w:eastAsia="Nova Mono"/>
          <w:i/>
          <w:color w:val="0D0D0D"/>
          <w:spacing w:val="0"/>
          <w:position w:val="0"/>
          <w:sz w:val="24"/>
          <w:shd w:fill="F8F8F8" w:val="clear"/>
        </w:rPr>
        <w:t xml:space="preserve"> observed behavior </w:t>
      </w:r>
      <w:r>
        <w:rPr>
          <w:rFonts w:ascii="Cambria Math" w:hAnsi="Cambria Math" w:cs="Cambria Math" w:eastAsia="Cambria Math"/>
          <w:i/>
          <w:color w:val="0D0D0D"/>
          <w:spacing w:val="0"/>
          <w:position w:val="0"/>
          <w:sz w:val="24"/>
          <w:shd w:fill="F8F8F8" w:val="clear"/>
        </w:rPr>
        <w:t xml:space="preserve">→</w:t>
      </w:r>
      <w:r>
        <w:rPr>
          <w:rFonts w:ascii="Nova Mono" w:hAnsi="Nova Mono" w:cs="Nova Mono" w:eastAsia="Nova Mono"/>
          <w:i/>
          <w:color w:val="0D0D0D"/>
          <w:spacing w:val="0"/>
          <w:position w:val="0"/>
          <w:sz w:val="24"/>
          <w:shd w:fill="F8F8F8" w:val="clear"/>
        </w:rPr>
        <w:t xml:space="preserve"> fix </w:t>
      </w:r>
      <w:r>
        <w:rPr>
          <w:rFonts w:ascii="Cambria Math" w:hAnsi="Cambria Math" w:cs="Cambria Math" w:eastAsia="Cambria Math"/>
          <w:i/>
          <w:color w:val="0D0D0D"/>
          <w:spacing w:val="0"/>
          <w:position w:val="0"/>
          <w:sz w:val="24"/>
          <w:shd w:fill="F8F8F8" w:val="clear"/>
        </w:rPr>
        <w:t xml:space="preserve">→</w:t>
      </w:r>
      <w:r>
        <w:rPr>
          <w:rFonts w:ascii="Nova Mono" w:hAnsi="Nova Mono" w:cs="Nova Mono" w:eastAsia="Nova Mono"/>
          <w:i/>
          <w:color w:val="0D0D0D"/>
          <w:spacing w:val="0"/>
          <w:position w:val="0"/>
          <w:sz w:val="24"/>
          <w:shd w:fill="F8F8F8" w:val="clear"/>
        </w:rPr>
        <w:t xml:space="preserve"> takeaway.</w:t>
      </w:r>
    </w:p>
    <w:p>
      <w:pPr>
        <w:numPr>
          <w:ilvl w:val="0"/>
          <w:numId w:val="55"/>
        </w:numPr>
        <w:spacing w:before="12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Producer outage: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stop the generator for an hour, restart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verify no data loss (Event Hub retention), verify gap is visible in KQL</w:t>
      </w:r>
    </w:p>
    <w:p>
      <w:pPr>
        <w:numPr>
          <w:ilvl w:val="0"/>
          <w:numId w:val="5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Duplicate file: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re-upload yesterday's settlement CSV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verify idempotent loading catches it, breaks don't double-count</w:t>
      </w:r>
    </w:p>
    <w:p>
      <w:pPr>
        <w:numPr>
          <w:ilvl w:val="0"/>
          <w:numId w:val="5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Poison message: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push malformed JSON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verify it lands in the DLQ, pipeline keeps flowing</w:t>
      </w:r>
    </w:p>
    <w:p>
      <w:pPr>
        <w:numPr>
          <w:ilvl w:val="0"/>
          <w:numId w:val="5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Late data: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force a T+5 settlement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verify it's matched, aged out, or flagged per your design</w:t>
      </w:r>
    </w:p>
    <w:p>
      <w:pPr>
        <w:numPr>
          <w:ilvl w:val="0"/>
          <w:numId w:val="55"/>
        </w:numPr>
        <w:spacing w:before="0" w:after="3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Job failure: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kill a Databricks job mid-run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verify rerun completes safely and the breaks table stays consistent</w:t>
      </w:r>
    </w:p>
    <w:p>
      <w:pPr>
        <w:spacing w:before="0" w:after="240" w:line="240"/>
        <w:ind w:right="0" w:left="0" w:firstLine="0"/>
        <w:jc w:val="left"/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Five documented war stories like these are worth more than another dashboard in a senior interview.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240" w:line="31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9"/>
          <w:shd w:fill="F8F8F8" w:val="clear"/>
        </w:rPr>
        <w:t xml:space="preserve">Phase 5: Observability, CI/CD, alerting, polish (Week 9, ~8</w:t>
      </w:r>
      <w:r>
        <w:rPr>
          <w:rFonts w:ascii="Calibri" w:hAnsi="Calibri" w:cs="Calibri" w:eastAsia="Calibri"/>
          <w:color w:val="auto"/>
          <w:spacing w:val="0"/>
          <w:position w:val="0"/>
          <w:sz w:val="29"/>
          <w:shd w:fill="F8F8F8" w:val="clear"/>
        </w:rPr>
        <w:t xml:space="preserve">–10 hrs)</w:t>
      </w:r>
    </w:p>
    <w:p>
      <w:pPr>
        <w:numPr>
          <w:ilvl w:val="0"/>
          <w:numId w:val="61"/>
        </w:numPr>
        <w:spacing w:before="22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Data Activator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: breaks-table threshold triggers (breaks &gt; 50, auth aged past SLA)</w:t>
      </w:r>
    </w:p>
    <w:p>
      <w:pPr>
        <w:numPr>
          <w:ilvl w:val="0"/>
          <w:numId w:val="6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NEW: Pipeline health via Azure Monitor + Log Analytics</w:t>
      </w:r>
    </w:p>
    <w:p>
      <w:pPr>
        <w:numPr>
          <w:ilvl w:val="0"/>
          <w:numId w:val="6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Alert on Databricks job failure</w:t>
      </w:r>
    </w:p>
    <w:p>
      <w:pPr>
        <w:numPr>
          <w:ilvl w:val="0"/>
          <w:numId w:val="6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Freshness SLO: "auth table stale &gt; 10 min </w:t>
      </w:r>
      <w:r>
        <w:rPr>
          <w:rFonts w:ascii="Cambria Math" w:hAnsi="Cambria Math" w:cs="Cambria Math" w:eastAsia="Cambria Math"/>
          <w:color w:val="0D0D0D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 alert" </w:t>
      </w:r>
      <w:r>
        <w:rPr>
          <w:rFonts w:ascii="Cambria Math" w:hAnsi="Cambria Math" w:cs="Cambria Math" w:eastAsia="Cambria Math"/>
          <w:color w:val="0D0D0D"/>
          <w:spacing w:val="0"/>
          <w:position w:val="0"/>
          <w:sz w:val="24"/>
          <w:shd w:fill="auto" w:val="clear"/>
        </w:rPr>
        <w:t xml:space="preserve">—</w:t>
      </w: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 business alerting AND operational alerting is the senior pairing</w:t>
      </w:r>
    </w:p>
    <w:p>
      <w:pPr>
        <w:numPr>
          <w:ilvl w:val="0"/>
          <w:numId w:val="6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auto" w:val="clear"/>
        </w:rPr>
        <w:t xml:space="preserve">NEW: Meta-reconciliation: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a scheduled check comparing Event Hub ingress count vs. Eventhouse row count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auto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a reconciliation pipeline that reconciles itself is a lovely thing to demo</w:t>
      </w:r>
    </w:p>
    <w:p>
      <w:pPr>
        <w:numPr>
          <w:ilvl w:val="0"/>
          <w:numId w:val="6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NEW: CD workflow (GitHub Actions)</w:t>
      </w:r>
    </w:p>
    <w:p>
      <w:pPr>
        <w:numPr>
          <w:ilvl w:val="0"/>
          <w:numId w:val="6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PR </w:t>
      </w:r>
      <w:r>
        <w:rPr>
          <w:rFonts w:ascii="Cambria Math" w:hAnsi="Cambria Math" w:cs="Cambria Math" w:eastAsia="Cambria Math"/>
          <w:color w:val="0D0D0D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terraform plan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posted as a comment; merge to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main</w:t>
      </w: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0D0D0D"/>
          <w:spacing w:val="0"/>
          <w:position w:val="0"/>
          <w:sz w:val="24"/>
          <w:shd w:fill="auto" w:val="clear"/>
        </w:rPr>
        <w:t xml:space="preserve">→</w:t>
      </w:r>
      <w:r>
        <w:rPr>
          <w:rFonts w:ascii="Nova Mono" w:hAnsi="Nova Mono" w:cs="Nova Mono" w:eastAsia="Nova Mono"/>
          <w:color w:val="0D0D0D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terraform apply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(with a manual-approval environment gate)</w:t>
      </w:r>
    </w:p>
    <w:p>
      <w:pPr>
        <w:numPr>
          <w:ilvl w:val="0"/>
          <w:numId w:val="6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Deploy the Databricks job from the repo so code promotion is reproducible</w:t>
      </w:r>
    </w:p>
    <w:p>
      <w:pPr>
        <w:numPr>
          <w:ilvl w:val="0"/>
          <w:numId w:val="6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Power BI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: ops dashboard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open breaks, aging buckets, breach trend</w:t>
      </w:r>
    </w:p>
    <w:p>
      <w:pPr>
        <w:numPr>
          <w:ilvl w:val="0"/>
          <w:numId w:val="6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Documentation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</w:t>
      </w:r>
      <w:r>
        <w:rPr>
          <w:rFonts w:ascii="Arial" w:hAnsi="Arial" w:cs="Arial" w:eastAsia="Arial"/>
          <w:color w:val="0D0D0D"/>
          <w:spacing w:val="0"/>
          <w:position w:val="0"/>
          <w:sz w:val="24"/>
          <w:shd w:fill="F8F8F8" w:val="clear"/>
        </w:rPr>
        <w:t xml:space="preserve">—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the portfolio package:</w:t>
      </w:r>
    </w:p>
    <w:p>
      <w:pPr>
        <w:numPr>
          <w:ilvl w:val="0"/>
          <w:numId w:val="6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Architecture diagram</w:t>
      </w:r>
    </w:p>
    <w:p>
      <w:pPr>
        <w:numPr>
          <w:ilvl w:val="0"/>
          <w:numId w:val="6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README with real metrics (events/sec, tolerance rules, test count, CI badge)</w:t>
      </w:r>
    </w:p>
    <w:p>
      <w:pPr>
        <w:numPr>
          <w:ilvl w:val="0"/>
          <w:numId w:val="6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0D0D0D"/>
          <w:spacing w:val="0"/>
          <w:position w:val="0"/>
          <w:sz w:val="19"/>
          <w:shd w:fill="ECECEC" w:val="clear"/>
        </w:rPr>
        <w:t xml:space="preserve">failure_drills.md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 linked prominently</w:t>
      </w:r>
    </w:p>
    <w:p>
      <w:pPr>
        <w:numPr>
          <w:ilvl w:val="0"/>
          <w:numId w:val="61"/>
        </w:numPr>
        <w:spacing w:before="0" w:after="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auto" w:val="clear"/>
        </w:rPr>
        <w:t xml:space="preserve">Short write-up of engineered anomalies and how the pipeline catches them</w:t>
      </w:r>
    </w:p>
    <w:p>
      <w:pPr>
        <w:numPr>
          <w:ilvl w:val="0"/>
          <w:numId w:val="61"/>
        </w:numPr>
        <w:spacing w:before="0" w:after="22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Cost cleanup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: pause/delete anything you're not actively demoing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240" w:line="319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9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9"/>
          <w:shd w:fill="F8F8F8" w:val="clear"/>
        </w:rPr>
        <w:t xml:space="preserve">Timeline summary</w:t>
      </w:r>
    </w:p>
    <w:tbl>
      <w:tblPr/>
      <w:tblGrid>
        <w:gridCol w:w="2457"/>
        <w:gridCol w:w="2457"/>
        <w:gridCol w:w="4111"/>
      </w:tblGrid>
      <w:tr>
        <w:trPr>
          <w:trHeight w:val="540" w:hRule="auto"/>
          <w:jc w:val="left"/>
        </w:trPr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01828"/>
                <w:spacing w:val="0"/>
                <w:position w:val="0"/>
                <w:sz w:val="21"/>
                <w:shd w:fill="auto" w:val="clear"/>
              </w:rPr>
              <w:t xml:space="preserve">Phase</w:t>
            </w:r>
          </w:p>
        </w:tc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01828"/>
                <w:spacing w:val="0"/>
                <w:position w:val="0"/>
                <w:sz w:val="21"/>
                <w:shd w:fill="auto" w:val="clear"/>
              </w:rPr>
              <w:t xml:space="preserve">Weeks</w:t>
            </w:r>
          </w:p>
        </w:tc>
        <w:tc>
          <w:tcPr>
            <w:tcW w:w="41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bottom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01828"/>
                <w:spacing w:val="0"/>
                <w:position w:val="0"/>
                <w:sz w:val="21"/>
                <w:shd w:fill="auto" w:val="clear"/>
              </w:rPr>
              <w:t xml:space="preserve">Focus</w:t>
            </w:r>
          </w:p>
        </w:tc>
      </w:tr>
      <w:tr>
        <w:trPr>
          <w:trHeight w:val="720" w:hRule="auto"/>
          <w:jc w:val="left"/>
        </w:trPr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0</w:t>
            </w:r>
          </w:p>
        </w:tc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1</w:t>
            </w:r>
          </w:p>
        </w:tc>
        <w:tc>
          <w:tcPr>
            <w:tcW w:w="41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Environment + Terraform bootstrap</w:t>
            </w:r>
          </w:p>
        </w:tc>
      </w:tr>
      <w:tr>
        <w:trPr>
          <w:trHeight w:val="735" w:hRule="auto"/>
          <w:jc w:val="left"/>
        </w:trPr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1</w:t>
            </w:r>
          </w:p>
        </w:tc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2</w:t>
            </w:r>
            <w:r>
              <w:rPr>
                <w:rFonts w:ascii="Calibri" w:hAnsi="Calibri" w:cs="Calibri" w:eastAsia="Calibri"/>
                <w:color w:val="171717"/>
                <w:spacing w:val="0"/>
                <w:position w:val="0"/>
                <w:sz w:val="21"/>
                <w:shd w:fill="auto" w:val="clear"/>
              </w:rPr>
              <w:t xml:space="preserve">–3</w:t>
            </w:r>
          </w:p>
        </w:tc>
        <w:tc>
          <w:tcPr>
            <w:tcW w:w="41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Streaming lane + DLQ + CI</w:t>
            </w:r>
          </w:p>
        </w:tc>
      </w:tr>
      <w:tr>
        <w:trPr>
          <w:trHeight w:val="735" w:hRule="auto"/>
          <w:jc w:val="left"/>
        </w:trPr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2</w:t>
            </w:r>
          </w:p>
        </w:tc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4</w:t>
            </w:r>
            <w:r>
              <w:rPr>
                <w:rFonts w:ascii="Calibri" w:hAnsi="Calibri" w:cs="Calibri" w:eastAsia="Calibri"/>
                <w:color w:val="171717"/>
                <w:spacing w:val="0"/>
                <w:position w:val="0"/>
                <w:sz w:val="21"/>
                <w:shd w:fill="auto" w:val="clear"/>
              </w:rPr>
              <w:t xml:space="preserve">–5</w:t>
            </w:r>
          </w:p>
        </w:tc>
        <w:tc>
          <w:tcPr>
            <w:tcW w:w="41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Batch lane + quality checks + idempotent loads</w:t>
            </w:r>
          </w:p>
        </w:tc>
      </w:tr>
      <w:tr>
        <w:trPr>
          <w:trHeight w:val="735" w:hRule="auto"/>
          <w:jc w:val="left"/>
        </w:trPr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3</w:t>
            </w:r>
          </w:p>
        </w:tc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6</w:t>
            </w:r>
            <w:r>
              <w:rPr>
                <w:rFonts w:ascii="Calibri" w:hAnsi="Calibri" w:cs="Calibri" w:eastAsia="Calibri"/>
                <w:color w:val="171717"/>
                <w:spacing w:val="0"/>
                <w:position w:val="0"/>
                <w:sz w:val="21"/>
                <w:shd w:fill="auto" w:val="clear"/>
              </w:rPr>
              <w:t xml:space="preserve">–7</w:t>
            </w:r>
          </w:p>
        </w:tc>
        <w:tc>
          <w:tcPr>
            <w:tcW w:w="41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Reconciliation + pytest + idempotent runs</w:t>
            </w:r>
          </w:p>
        </w:tc>
      </w:tr>
      <w:tr>
        <w:trPr>
          <w:trHeight w:val="735" w:hRule="auto"/>
          <w:jc w:val="left"/>
        </w:trPr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4</w:t>
            </w:r>
          </w:p>
        </w:tc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8</w:t>
            </w:r>
          </w:p>
        </w:tc>
        <w:tc>
          <w:tcPr>
            <w:tcW w:w="41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Failure drills</w:t>
            </w:r>
          </w:p>
        </w:tc>
      </w:tr>
      <w:tr>
        <w:trPr>
          <w:trHeight w:val="720" w:hRule="auto"/>
          <w:jc w:val="left"/>
        </w:trPr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5</w:t>
            </w:r>
          </w:p>
        </w:tc>
        <w:tc>
          <w:tcPr>
            <w:tcW w:w="245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9</w:t>
            </w:r>
          </w:p>
        </w:tc>
        <w:tc>
          <w:tcPr>
            <w:tcW w:w="411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480" w:after="780" w:line="411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Roboto" w:hAnsi="Roboto" w:cs="Roboto" w:eastAsia="Roboto"/>
                <w:color w:val="171717"/>
                <w:spacing w:val="0"/>
                <w:position w:val="0"/>
                <w:sz w:val="21"/>
                <w:shd w:fill="auto" w:val="clear"/>
              </w:rPr>
              <w:t xml:space="preserve">Observability, CI/CD, docs</w:t>
            </w:r>
          </w:p>
        </w:tc>
      </w:tr>
    </w:tbl>
    <w:p>
      <w:pPr>
        <w:spacing w:before="0" w:after="240" w:line="240"/>
        <w:ind w:right="0" w:left="0" w:firstLine="0"/>
        <w:jc w:val="left"/>
        <w:rPr>
          <w:rFonts w:ascii="Calibri" w:hAnsi="Calibri" w:cs="Calibri" w:eastAsia="Calibri"/>
          <w:color w:val="0D0D0D"/>
          <w:spacing w:val="0"/>
          <w:position w:val="0"/>
          <w:sz w:val="24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Total: ~8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8F8F8" w:val="clear"/>
        </w:rPr>
        <w:t xml:space="preserve">–9 weeks part-time.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F8F8F8" w:val="clear"/>
        </w:rPr>
        <w:t xml:space="preserve"> Don't compress Phase 1; don't skip Phase 4 — it's the cheapest, highest-return phase in the plan.</w:t>
      </w:r>
    </w:p>
    <w:p>
      <w:pPr>
        <w:spacing w:before="480" w:after="240" w:line="319"/>
        <w:ind w:right="0" w:left="0" w:firstLine="0"/>
        <w:jc w:val="left"/>
        <w:rPr>
          <w:rFonts w:ascii="Roboto" w:hAnsi="Roboto" w:cs="Roboto" w:eastAsia="Roboto"/>
          <w:color w:val="auto"/>
          <w:spacing w:val="0"/>
          <w:position w:val="0"/>
          <w:sz w:val="29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9"/>
          <w:shd w:fill="F8F8F8" w:val="clear"/>
        </w:rPr>
        <w:t xml:space="preserve">Notes</w:t>
      </w:r>
    </w:p>
    <w:p>
      <w:pPr>
        <w:numPr>
          <w:ilvl w:val="0"/>
          <w:numId w:val="91"/>
        </w:numPr>
        <w:spacing w:before="12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Don't start Phase 2 until Phase 1's tile is genuinely live-updating. Debugging two unfinished pipelines at once is where self-directed projects stall.</w:t>
      </w:r>
    </w:p>
    <w:p>
      <w:pPr>
        <w:numPr>
          <w:ilvl w:val="0"/>
          <w:numId w:val="9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Keep a running log of every Azure/Fabric error and fix 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F8F8F8" w:val="clear"/>
        </w:rPr>
        <w:t xml:space="preserve">— interview material nearly as valuable as the project.</w:t>
      </w:r>
    </w:p>
    <w:p>
      <w:pPr>
        <w:numPr>
          <w:ilvl w:val="0"/>
          <w:numId w:val="9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auto"/>
          <w:spacing w:val="0"/>
          <w:position w:val="0"/>
          <w:sz w:val="24"/>
          <w:shd w:fill="F8F8F8" w:val="clear"/>
        </w:rPr>
        <w:t xml:space="preserve">The three artifacts interviewers will weight heaviest: the matching-logic design (Phase 3), the failure drills doc (Phase 4), and the Terraform + CI/CD repo structure (Phase 0/5).</w:t>
      </w: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 Cloud services are commodities; these three are yours.</w:t>
      </w:r>
    </w:p>
    <w:p>
      <w:pPr>
        <w:numPr>
          <w:ilvl w:val="0"/>
          <w:numId w:val="91"/>
        </w:numPr>
        <w:spacing w:before="0" w:after="36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8F8F8" w:val="clear"/>
        </w:rPr>
      </w:pPr>
      <w:r>
        <w:rPr>
          <w:rFonts w:ascii="Roboto" w:hAnsi="Roboto" w:cs="Roboto" w:eastAsia="Roboto"/>
          <w:color w:val="0D0D0D"/>
          <w:spacing w:val="0"/>
          <w:position w:val="0"/>
          <w:sz w:val="24"/>
          <w:shd w:fill="F8F8F8" w:val="clear"/>
        </w:rPr>
        <w:t xml:space="preserve">The GCP rebuild (Pub/Sub, Dataflow, BigQuery) remains a natural Phase 6 once this is stable </w:t>
      </w:r>
      <w:r>
        <w:rPr>
          <w:rFonts w:ascii="Calibri" w:hAnsi="Calibri" w:cs="Calibri" w:eastAsia="Calibri"/>
          <w:color w:val="0D0D0D"/>
          <w:spacing w:val="0"/>
          <w:position w:val="0"/>
          <w:sz w:val="24"/>
          <w:shd w:fill="F8F8F8" w:val="clear"/>
        </w:rPr>
        <w:t xml:space="preserve">— same architecture, different plumbing.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6">
    <w:abstractNumId w:val="36"/>
  </w:num>
  <w:num w:numId="13">
    <w:abstractNumId w:val="30"/>
  </w:num>
  <w:num w:numId="30">
    <w:abstractNumId w:val="24"/>
  </w:num>
  <w:num w:numId="42">
    <w:abstractNumId w:val="18"/>
  </w:num>
  <w:num w:numId="55">
    <w:abstractNumId w:val="12"/>
  </w:num>
  <w:num w:numId="61">
    <w:abstractNumId w:val="6"/>
  </w:num>
  <w:num w:numId="9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