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m2lo6fp7ulh" w:id="0"/>
      <w:bookmarkEnd w:id="0"/>
      <w:r w:rsidDel="00000000" w:rsidR="00000000" w:rsidRPr="00000000">
        <w:rPr>
          <w:rtl w:val="0"/>
        </w:rPr>
        <w:t xml:space="preserve">                             CAPSTONE  PROJECT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jugaecflr8rs" w:id="1"/>
      <w:bookmarkEnd w:id="1"/>
      <w:r w:rsidDel="00000000" w:rsidR="00000000" w:rsidRPr="00000000">
        <w:rPr>
          <w:rtl w:val="0"/>
        </w:rPr>
        <w:t xml:space="preserve">1. Executive Problem Framing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mede3t29x5e" w:id="2"/>
      <w:bookmarkEnd w:id="2"/>
      <w:r w:rsidDel="00000000" w:rsidR="00000000" w:rsidRPr="00000000">
        <w:rPr>
          <w:rtl w:val="0"/>
        </w:rPr>
        <w:t xml:space="preserve">Core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Between June 2026 and September 2026, AstraPay’s </w:t>
      </w:r>
      <w:r w:rsidDel="00000000" w:rsidR="00000000" w:rsidRPr="00000000">
        <w:rPr>
          <w:b w:val="1"/>
          <w:bCs w:val="1"/>
          <w:rtl w:val="0"/>
        </w:rPr>
        <w:t xml:space="preserve">Contribution Profit per Successful Transaction (CPST)</w:t>
      </w:r>
      <w:r w:rsidDel="00000000" w:rsidR="00000000" w:rsidRPr="00000000">
        <w:rPr>
          <w:rtl w:val="0"/>
        </w:rPr>
        <w:t xml:space="preserve"> declined across core markets (India, Singapore, UAE) despite growing Gross Payment Value (GPV). This diagnostic identifies whether this deterioration is driven by commercial pricing erosion, inefficient gateway routing, or over-aggressive fraud rules, and delivers a 60-day remediation roadmap.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d46e53awntt" w:id="3"/>
      <w:bookmarkEnd w:id="3"/>
      <w:r w:rsidDel="00000000" w:rsidR="00000000" w:rsidRPr="00000000">
        <w:rPr>
          <w:rtl w:val="0"/>
        </w:rPr>
        <w:t xml:space="preserve">Key Performance Indicators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KPI:</w:t>
      </w:r>
      <w:r w:rsidDel="00000000" w:rsidR="00000000" w:rsidRPr="00000000">
        <w:rPr>
          <w:rtl w:val="0"/>
        </w:rPr>
        <w:br w:type="textWrapping"/>
        <w:t xml:space="preserve">$$\text{CPST} = \frac{\text{Net Gross Revenue} - \text{Routing Costs} - \text{Dispute Costs}}{\text{Count of Successful Settled Transactions}}$$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KPIs:</w:t>
      </w:r>
      <w:r w:rsidDel="00000000" w:rsidR="00000000" w:rsidRPr="00000000">
        <w:rPr>
          <w:rtl w:val="0"/>
        </w:rPr>
        <w:t xml:space="preserve"> Payment Success Rate (% Cleared / Attempted), Processing Latency ($P_{95}\text{ ms}$).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KPIs:</w:t>
      </w:r>
      <w:r w:rsidDel="00000000" w:rsidR="00000000" w:rsidRPr="00000000">
        <w:rPr>
          <w:rtl w:val="0"/>
        </w:rPr>
        <w:t xml:space="preserve"> Gross Take Rate (Bps), Net FX Slippage Rate (Bps).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KPIs:</w:t>
      </w:r>
      <w:r w:rsidDel="00000000" w:rsidR="00000000" w:rsidRPr="00000000">
        <w:rPr>
          <w:rtl w:val="0"/>
        </w:rPr>
        <w:t xml:space="preserve"> False Decline Rate (%), Chargeback Rate (Bps).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m6a5drasqf0" w:id="4"/>
      <w:bookmarkEnd w:id="4"/>
      <w:r w:rsidDel="00000000" w:rsidR="00000000" w:rsidRPr="00000000">
        <w:rPr>
          <w:rtl w:val="0"/>
        </w:rPr>
        <w:t xml:space="preserve">Scope, Exclusions &amp; Assumptions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Payment attempts, lifecycles, FX rates, and settlements between June 1, 2026, and September 15, 2026, across India (IN), Singapore (SG), and United Arab Emirates (AE).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Exclusions:</w:t>
      </w:r>
      <w:r w:rsidDel="00000000" w:rsidR="00000000" w:rsidRPr="00000000">
        <w:rPr>
          <w:rtl w:val="0"/>
        </w:rPr>
        <w:t xml:space="preserve"> Indirect overhead, fixed infrastructure costs, and non-transactional merchant platform subscription fees.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EOD_SPOT</w:t>
      </w:r>
      <w:r w:rsidDel="00000000" w:rsidR="00000000" w:rsidRPr="00000000">
        <w:rPr>
          <w:rtl w:val="0"/>
        </w:rPr>
        <w:t xml:space="preserve"> is the standard baseline FX rate for operational profitability unless a merchant contract explicitly specifies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ikd8i55l55r1" w:id="5"/>
      <w:bookmarkEnd w:id="5"/>
      <w:r w:rsidDel="00000000" w:rsidR="00000000" w:rsidRPr="00000000">
        <w:rPr>
          <w:rtl w:val="0"/>
        </w:rPr>
        <w:t xml:space="preserve">Competing Hypotheses &amp; Evidence Criteria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Proposed Mechanism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Confirmation Evidence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Rejection 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H1: Commercial Pricing (CFO)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Business mix shifted toward custom volume merchants with lower take rates, diluting CPST.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Within-segment margin is flat, but high-volume/low-margin merchant segment volume share increased by $&gt;15%$.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Overall margin drop is driven by cost increases within identical merchant tier pricing plans.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H2: Operational Routing (Head of Payments)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Payment attempts ($&gt;2,000\text{ USD}$) defaulted or leaked to expensive cross-border 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GW_CROSSBORDER_X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Unit routing fees increased due to higher proportion of transactions hitting fallback routes rather than local gateways.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Route distribution remained stable while provider variable fee schedules unexpectedly scaled.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H3: Risk &amp; Fraud Over-Blocking (Risk Head)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Fraud Engine v2.1 strict rules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FILTER_99_STRICT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RULE_99_STRICT</w:t>
            </w:r>
            <w:r w:rsidDel="00000000" w:rsidR="00000000" w:rsidRPr="00000000">
              <w:rPr>
                <w:rtl w:val="0"/>
              </w:rPr>
              <w:t xml:space="preserve">) increased false declines on high-value legitimate traffic.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Decline rate spiked on high-value transactions after Engine v2.1 rollout without a corresponding drop in chargebacks.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Chargeback rates increased proportionally with declined traffic or decline rates remained static.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