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10.png" ContentType="image/jpeg"/>
  <Override PartName="/word/media/image11.png" ContentType="image/jpeg"/>
  <Override PartName="/word/media/image12.png" ContentType="image/jpeg"/>
  <Override PartName="/word/media/image13.png" ContentType="image/jpeg"/>
  <Override PartName="/word/media/image14.png" ContentType="image/jpeg"/>
  <Override PartName="/word/media/image15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A5123B"/>
          <w:sz w:val="18"/>
        </w:rPr>
        <w:t>ASTROROSHNI PROFESSIONAL REFERENCE</w:t>
      </w:r>
    </w:p>
    <w:p>
      <w:pPr>
        <w:pStyle w:val="Title"/>
        <w:jc w:val="left"/>
      </w:pPr>
      <w:r>
        <w:t>Parashari Desk</w:t>
        <w:br/>
        <w:t>Feature &amp; Workflow Guide</w:t>
      </w:r>
    </w:p>
    <w:p>
      <w:pPr>
        <w:pStyle w:val="Subtitle"/>
      </w:pPr>
      <w:r>
        <w:t>A visual guide to charts, dashas, activation timing, event-focused analysis and classical strength tools—across desktop and mobile web.</w:t>
      </w:r>
    </w:p>
    <w:p>
      <w:pPr>
        <w:spacing w:after="160"/>
        <w:pBdr>
          <w:bottom w:val="single" w:sz="18" w:space="1" w:color="A5123B"/>
        </w:pBdr>
      </w:pP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327648" cy="35593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esktop-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7648" cy="3559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left"/>
      </w:pPr>
      <w:r>
        <w:rPr>
          <w:b/>
          <w:color w:val="A5123B"/>
        </w:rPr>
        <w:t>PRODUCT CAPTURE  •  DESKTOP WORKSPACE  •  09 AUG 2026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7E7EC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7F0D2D"/>
              </w:rPr>
              <w:t>Built for working astrologers: one as-of date, linked charts and dashas, inspectable timing evidence.</w:t>
            </w:r>
          </w:p>
        </w:tc>
      </w:tr>
    </w:tbl>
    <w:p>
      <w:pPr>
        <w:pStyle w:val="Caption"/>
      </w:pPr>
      <w:r>
        <w:t>Document version 1.0  |  Screenshots use a test chart; values change with the selected native and as-of time.</w:t>
      </w:r>
    </w:p>
    <w:p>
      <w:r>
        <w:br w:type="page"/>
      </w:r>
    </w:p>
    <w:p>
      <w:pPr>
        <w:spacing w:after="80"/>
      </w:pPr>
      <w:r>
        <w:rPr>
          <w:rFonts w:ascii="Calibri" w:hAnsi="Calibri"/>
          <w:b/>
          <w:color w:val="A5123B"/>
          <w:sz w:val="18"/>
        </w:rPr>
        <w:t>ORIENTATION</w:t>
      </w:r>
    </w:p>
    <w:p>
      <w:pPr>
        <w:pStyle w:val="Heading1"/>
      </w:pPr>
      <w:r>
        <w:t>The desk at a glance</w:t>
      </w:r>
    </w:p>
    <w:p>
      <w:pPr>
        <w:spacing w:after="160"/>
        <w:pBdr>
          <w:bottom w:val="single" w:sz="8" w:space="1" w:color="A5123B"/>
        </w:pBdr>
      </w:pPr>
    </w:p>
    <w:p>
      <w:pPr>
        <w:spacing w:after="160"/>
      </w:pPr>
      <w:r>
        <w:t>Parashari Desk keeps natal context, the selected as-of sky, period lords and predictive evidence in one coordinated workspace.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327648" cy="35593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esktop-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7648" cy="3559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Desktop overview: four-chart canvas, five-level dasha browser, analysis dock and activated-house colouring.</w:t>
      </w:r>
    </w:p>
    <w:p>
      <w:pPr>
        <w:pStyle w:val="ListBullet"/>
        <w:spacing w:after="100" w:line="264" w:lineRule="auto"/>
        <w:ind w:left="360" w:hanging="230"/>
      </w:pPr>
      <w:r>
        <w:rPr>
          <w:b/>
        </w:rPr>
        <w:t xml:space="preserve">One temporal spine. </w:t>
      </w:r>
      <w:r>
        <w:t>The as-of controls drive transits, activation timing and period-sensitive tools.</w:t>
      </w:r>
    </w:p>
    <w:p>
      <w:pPr>
        <w:pStyle w:val="ListBullet"/>
        <w:spacing w:after="100" w:line="264" w:lineRule="auto"/>
        <w:ind w:left="360" w:hanging="230"/>
      </w:pPr>
      <w:r>
        <w:rPr>
          <w:b/>
        </w:rPr>
        <w:t xml:space="preserve">Four working zones. </w:t>
      </w:r>
      <w:r>
        <w:t>Header intelligence, charts, dasha browser and analysis/activation dock stay linked.</w:t>
      </w:r>
    </w:p>
    <w:p>
      <w:pPr>
        <w:pStyle w:val="ListBullet"/>
        <w:spacing w:after="100" w:line="264" w:lineRule="auto"/>
        <w:ind w:left="360" w:hanging="230"/>
      </w:pPr>
      <w:r>
        <w:rPr>
          <w:b/>
        </w:rPr>
        <w:t xml:space="preserve">Progressive disclosure. </w:t>
      </w:r>
      <w:r>
        <w:t>Dense calculations remain available without overwhelming the primary reading surface.</w:t>
      </w:r>
    </w:p>
    <w:p>
      <w:pPr>
        <w:pStyle w:val="ListBullet"/>
        <w:spacing w:after="100" w:line="264" w:lineRule="auto"/>
        <w:ind w:left="360" w:hanging="230"/>
      </w:pPr>
      <w:r>
        <w:rPr>
          <w:b/>
        </w:rPr>
        <w:t xml:space="preserve">Responsive continuity. </w:t>
      </w:r>
      <w:r>
        <w:t>Mobile reorganises the same work into Chart, Dasha, Act and More tabs.</w:t>
      </w:r>
    </w:p>
    <w:p>
      <w:r>
        <w:br w:type="page"/>
      </w:r>
    </w:p>
    <w:p>
      <w:pPr>
        <w:spacing w:after="80"/>
      </w:pPr>
      <w:r>
        <w:rPr>
          <w:rFonts w:ascii="Calibri" w:hAnsi="Calibri"/>
          <w:b/>
          <w:color w:val="A5123B"/>
          <w:sz w:val="18"/>
        </w:rPr>
        <w:t>1 · CONTROL SPINE</w:t>
      </w:r>
    </w:p>
    <w:p>
      <w:pPr>
        <w:pStyle w:val="Heading1"/>
      </w:pPr>
      <w:r>
        <w:t>Header intelligence &amp; temporal control</w:t>
      </w:r>
    </w:p>
    <w:p>
      <w:pPr>
        <w:spacing w:after="160"/>
        <w:pBdr>
          <w:bottom w:val="single" w:sz="8" w:space="1" w:color="A5123B"/>
        </w:pBdr>
      </w:pPr>
    </w:p>
    <w:p>
      <w:pPr>
        <w:spacing w:after="160"/>
      </w:pPr>
      <w:r>
        <w:t>The header is not decoration: it establishes the native, the working date and the contextual facts used throughout the desk.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327648" cy="7118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head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27648" cy="711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Header detail: as-of navigation, birth Panchanga, special points, planetary conditions and special lagnas.</w:t>
      </w:r>
    </w:p>
    <w:p>
      <w:pPr>
        <w:pStyle w:val="ListBullet"/>
        <w:spacing w:after="100" w:line="264" w:lineRule="auto"/>
        <w:ind w:left="360" w:hanging="230"/>
      </w:pPr>
      <w:r>
        <w:rPr>
          <w:b/>
        </w:rPr>
        <w:t xml:space="preserve">Native context. </w:t>
      </w:r>
      <w:r>
        <w:t>Return Home, switch to KP or Nadi desks, or replace the active birth chart without leaving the workspace.</w:t>
      </w:r>
    </w:p>
    <w:p>
      <w:pPr>
        <w:pStyle w:val="ListBullet"/>
        <w:spacing w:after="100" w:line="264" w:lineRule="auto"/>
        <w:ind w:left="360" w:hanging="230"/>
      </w:pPr>
      <w:r>
        <w:rPr>
          <w:b/>
        </w:rPr>
        <w:t xml:space="preserve">As-of navigator. </w:t>
      </w:r>
      <w:r>
        <w:t>Jump by year, month, week, day or hour; return to Now; edit date and time directly.</w:t>
      </w:r>
    </w:p>
    <w:p>
      <w:pPr>
        <w:pStyle w:val="ListBullet"/>
        <w:spacing w:after="100" w:line="264" w:lineRule="auto"/>
        <w:ind w:left="360" w:hanging="230"/>
      </w:pPr>
      <w:r>
        <w:rPr>
          <w:b/>
        </w:rPr>
        <w:t xml:space="preserve">Birth Panchanga. </w:t>
      </w:r>
      <w:r>
        <w:t>Tithi, vāra, nakshatra and pada, yoga and karaṇa remain visible for immediate context.</w:t>
      </w:r>
    </w:p>
    <w:p>
      <w:pPr>
        <w:pStyle w:val="ListBullet"/>
        <w:spacing w:after="100" w:line="264" w:lineRule="auto"/>
        <w:ind w:left="360" w:hanging="230"/>
      </w:pPr>
      <w:r>
        <w:rPr>
          <w:b/>
        </w:rPr>
        <w:t xml:space="preserve">Special points. </w:t>
      </w:r>
      <w:r>
        <w:t>Yogi/Avayogi, Dagdha, Tithi Śūnya, Badhaka, Maraka, Rāśi type, Bhrigu Bindu, Pushkara, Mudakku Nakshatra and Gandanta.</w:t>
      </w:r>
    </w:p>
    <w:p>
      <w:pPr>
        <w:pStyle w:val="ListBullet"/>
        <w:spacing w:after="100" w:line="264" w:lineRule="auto"/>
        <w:ind w:left="360" w:hanging="230"/>
      </w:pPr>
      <w:r>
        <w:rPr>
          <w:b/>
        </w:rPr>
        <w:t xml:space="preserve">Conditions &amp; lagnas. </w:t>
      </w:r>
      <w:r>
        <w:t>Planetary state labels plus AL, UL, A7 and Indu Lagna provide fast interpretive anchors.</w:t>
      </w:r>
    </w:p>
    <w:p>
      <w:r>
        <w:br w:type="page"/>
      </w:r>
    </w:p>
    <w:p>
      <w:pPr>
        <w:spacing w:after="80"/>
      </w:pPr>
      <w:r>
        <w:rPr>
          <w:rFonts w:ascii="Calibri" w:hAnsi="Calibri"/>
          <w:b/>
          <w:color w:val="A5123B"/>
          <w:sz w:val="18"/>
        </w:rPr>
        <w:t>2 · CHART WORKSPACE</w:t>
      </w:r>
    </w:p>
    <w:p>
      <w:pPr>
        <w:pStyle w:val="Heading1"/>
      </w:pPr>
      <w:r>
        <w:t>Charts that stay in context</w:t>
      </w:r>
    </w:p>
    <w:p>
      <w:pPr>
        <w:spacing w:after="160"/>
        <w:pBdr>
          <w:bottom w:val="single" w:sz="8" w:space="1" w:color="A5123B"/>
        </w:pBdr>
      </w:pPr>
    </w:p>
    <w:p>
      <w:pPr>
        <w:spacing w:after="160"/>
      </w:pPr>
      <w:r>
        <w:t>The desktop canvas supports comparison; the mobile browser exposes every chart without forcing a long vertical stack.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2489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char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8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D1, D9, D10 and Transit in the desktop reading canvas. Activated houses are shaded in D1 and Transit when activation mode is on.</w:t>
      </w:r>
    </w:p>
    <w:p>
      <w:pPr>
        <w:pStyle w:val="ListBullet"/>
        <w:spacing w:after="20" w:line="264" w:lineRule="auto"/>
        <w:ind w:left="360" w:hanging="230"/>
      </w:pPr>
      <w:r>
        <w:rPr>
          <w:b/>
        </w:rPr>
        <w:t xml:space="preserve">Complete divisional set. </w:t>
      </w:r>
      <w:r>
        <w:t>D1, D2, D3, D4, D7, D9, D10, D12, D16, D20, D24, D27, D30, D40, D45 and D60, plus Kārakāṁśa and Swāṁśa.</w:t>
      </w:r>
    </w:p>
    <w:p>
      <w:pPr>
        <w:pStyle w:val="ListBullet"/>
        <w:spacing w:after="20" w:line="264" w:lineRule="auto"/>
        <w:ind w:left="360" w:hanging="230"/>
      </w:pPr>
      <w:r>
        <w:rPr>
          <w:b/>
        </w:rPr>
        <w:t xml:space="preserve">Chart controls. </w:t>
      </w:r>
      <w:r>
        <w:t>North/South chart orientation and full-screen inspection are available from the chart header.</w:t>
      </w:r>
    </w:p>
    <w:p>
      <w:pPr>
        <w:pStyle w:val="ListBullet"/>
        <w:spacing w:after="20" w:line="264" w:lineRule="auto"/>
        <w:ind w:left="360" w:hanging="230"/>
      </w:pPr>
      <w:r>
        <w:rPr>
          <w:b/>
        </w:rPr>
        <w:t xml:space="preserve">House insight. </w:t>
      </w:r>
      <w:r>
        <w:t>Selecting a house opens contextual interpretation in the insight dock.</w:t>
      </w:r>
    </w:p>
    <w:p>
      <w:pPr>
        <w:pStyle w:val="ListBullet"/>
        <w:spacing w:after="20" w:line="264" w:lineRule="auto"/>
        <w:ind w:left="360" w:hanging="230"/>
      </w:pPr>
      <w:r>
        <w:rPr>
          <w:b/>
        </w:rPr>
        <w:t xml:space="preserve">Activation colours. </w:t>
      </w:r>
      <w:r>
        <w:t>Strong, Active and Period states are applied only to D1 and Transit, with a visible legend and expandable explanation.</w:t>
      </w:r>
    </w:p>
    <w:p>
      <w:pPr>
        <w:pStyle w:val="ListBullet"/>
        <w:spacing w:after="20" w:line="264" w:lineRule="auto"/>
        <w:ind w:left="360" w:hanging="230"/>
      </w:pPr>
      <w:r>
        <w:rPr>
          <w:b/>
        </w:rPr>
        <w:t xml:space="preserve">Transit-specific navigation. </w:t>
      </w:r>
      <w:r>
        <w:t>The chart-level date navigator appears only when Transit is selected on mobile.</w:t>
      </w:r>
    </w:p>
    <w:p>
      <w:r>
        <w:br w:type="page"/>
      </w:r>
    </w:p>
    <w:p>
      <w:pPr>
        <w:spacing w:after="80"/>
      </w:pPr>
      <w:r>
        <w:rPr>
          <w:rFonts w:ascii="Calibri" w:hAnsi="Calibri"/>
          <w:b/>
          <w:color w:val="A5123B"/>
          <w:sz w:val="18"/>
        </w:rPr>
        <w:t>3 · TIMING SYSTEMS</w:t>
      </w:r>
    </w:p>
    <w:p>
      <w:pPr>
        <w:pStyle w:val="Heading1"/>
      </w:pPr>
      <w:r>
        <w:t>Dasha browser: hierarchy without losing the thread</w:t>
      </w:r>
    </w:p>
    <w:p>
      <w:pPr>
        <w:spacing w:after="160"/>
        <w:pBdr>
          <w:bottom w:val="single" w:sz="8" w:space="1" w:color="A5123B"/>
        </w:pBdr>
      </w:pPr>
    </w:p>
    <w:p>
      <w:pPr>
        <w:spacing w:after="160"/>
      </w:pPr>
      <w:r>
        <w:t>The dasha browser presents the active chain and adjacent periods together, making it practical to compare the current lord stack with what opens next.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327648" cy="16311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dash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27648" cy="1631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Desktop dasha browser: Mahā, Antar, Pratyantar, Sūkṣma and Prāṇa periods in parallel columns.</w:t>
      </w:r>
    </w:p>
    <w:p>
      <w:pPr>
        <w:pStyle w:val="ListBullet"/>
        <w:spacing w:after="100" w:line="264" w:lineRule="auto"/>
        <w:ind w:left="360" w:hanging="230"/>
      </w:pPr>
      <w:r>
        <w:rPr>
          <w:b/>
        </w:rPr>
        <w:t xml:space="preserve">Five visible levels. </w:t>
      </w:r>
      <w:r>
        <w:t>MD, AD, PD, SD and Prāṇa are readable at the same time with active rows clearly marked.</w:t>
      </w:r>
    </w:p>
    <w:p>
      <w:pPr>
        <w:pStyle w:val="ListBullet"/>
        <w:spacing w:after="100" w:line="264" w:lineRule="auto"/>
        <w:ind w:left="360" w:hanging="230"/>
      </w:pPr>
      <w:r>
        <w:rPr>
          <w:b/>
        </w:rPr>
        <w:t xml:space="preserve">Four systems. </w:t>
      </w:r>
      <w:r>
        <w:t>Vimshottari, Yogini, Kalachakra and Chara are available as first-class tabs.</w:t>
      </w:r>
    </w:p>
    <w:p>
      <w:pPr>
        <w:pStyle w:val="ListBullet"/>
        <w:spacing w:after="100" w:line="264" w:lineRule="auto"/>
        <w:ind w:left="360" w:hanging="230"/>
      </w:pPr>
      <w:r>
        <w:rPr>
          <w:b/>
        </w:rPr>
        <w:t xml:space="preserve">Period navigation. </w:t>
      </w:r>
      <w:r>
        <w:t>Selecting a period drills into the next level; the chain summary preserves orientation.</w:t>
      </w:r>
    </w:p>
    <w:p>
      <w:pPr>
        <w:pStyle w:val="ListBullet"/>
        <w:spacing w:after="100" w:line="264" w:lineRule="auto"/>
        <w:ind w:left="360" w:hanging="230"/>
      </w:pPr>
      <w:r>
        <w:rPr>
          <w:b/>
        </w:rPr>
        <w:t xml:space="preserve">Date synchronisation. </w:t>
      </w:r>
      <w:r>
        <w:t>Period selection can move the desk as-of so charts and activation evidence follow the chosen time.</w:t>
      </w:r>
    </w:p>
    <w:p>
      <w:r>
        <w:br w:type="page"/>
      </w:r>
    </w:p>
    <w:p>
      <w:pPr>
        <w:spacing w:after="80"/>
      </w:pPr>
      <w:r>
        <w:rPr>
          <w:rFonts w:ascii="Calibri" w:hAnsi="Calibri"/>
          <w:b/>
          <w:color w:val="A5123B"/>
          <w:sz w:val="18"/>
        </w:rPr>
        <w:t>4 · PREDICTIVE ACTIVATION</w:t>
      </w:r>
    </w:p>
    <w:p>
      <w:pPr>
        <w:pStyle w:val="Heading1"/>
      </w:pPr>
      <w:r>
        <w:t>Activation Timeline: from state to timing window</w:t>
      </w:r>
    </w:p>
    <w:p>
      <w:pPr>
        <w:spacing w:after="160"/>
        <w:pBdr>
          <w:bottom w:val="single" w:sz="8" w:space="1" w:color="A5123B"/>
        </w:pBdr>
      </w:pPr>
    </w:p>
    <w:p>
      <w:pPr>
        <w:spacing w:after="160"/>
      </w:pPr>
      <w:r>
        <w:t>Timeline combines dasha portfolios and transits into house-level states, then exposes the reason each timing slice opens and ends.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ctivation-timelin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Activation mode on desktop: D1, D9 and Transit above a timeline with a full-height timing-window detail pane.</w:t>
      </w:r>
    </w:p>
    <w:p>
      <w:pPr>
        <w:pStyle w:val="ListBullet"/>
        <w:spacing w:after="20" w:line="264" w:lineRule="auto"/>
        <w:ind w:left="360" w:hanging="230"/>
      </w:pPr>
      <w:r>
        <w:rPr>
          <w:b/>
        </w:rPr>
        <w:t xml:space="preserve">State legend. </w:t>
      </w:r>
      <w:r>
        <w:t>Strong, Active, Period and Quiet remain a compact one-line key; definitions expand only when needed.</w:t>
      </w:r>
    </w:p>
    <w:p>
      <w:pPr>
        <w:pStyle w:val="ListBullet"/>
        <w:spacing w:after="20" w:line="264" w:lineRule="auto"/>
        <w:ind w:left="360" w:hanging="230"/>
      </w:pPr>
      <w:r>
        <w:rPr>
          <w:b/>
        </w:rPr>
        <w:t xml:space="preserve">Now and Next. </w:t>
      </w:r>
      <w:r>
        <w:t>Current activated houses are separated from upcoming windows.</w:t>
      </w:r>
    </w:p>
    <w:p>
      <w:pPr>
        <w:pStyle w:val="ListBullet"/>
        <w:spacing w:after="20" w:line="264" w:lineRule="auto"/>
        <w:ind w:left="360" w:hanging="230"/>
      </w:pPr>
      <w:r>
        <w:rPr>
          <w:b/>
        </w:rPr>
        <w:t xml:space="preserve">Timing boundaries. </w:t>
      </w:r>
      <w:r>
        <w:t>Each slice explains what opened it and the change that closes it.</w:t>
      </w:r>
    </w:p>
    <w:p>
      <w:pPr>
        <w:pStyle w:val="ListBullet"/>
        <w:spacing w:after="20" w:line="264" w:lineRule="auto"/>
        <w:ind w:left="360" w:hanging="230"/>
      </w:pPr>
      <w:r>
        <w:rPr>
          <w:b/>
        </w:rPr>
        <w:t xml:space="preserve">Evidence detail. </w:t>
      </w:r>
      <w:r>
        <w:t>The selected house shows dasha participation, transit contact, support/challenge tone and interpretive context.</w:t>
      </w:r>
    </w:p>
    <w:p>
      <w:pPr>
        <w:pStyle w:val="ListBullet"/>
        <w:spacing w:after="20" w:line="264" w:lineRule="auto"/>
        <w:ind w:left="360" w:hanging="230"/>
      </w:pPr>
      <w:r>
        <w:rPr>
          <w:b/>
        </w:rPr>
        <w:t xml:space="preserve">As-of handoff. </w:t>
      </w:r>
      <w:r>
        <w:t>A timing window can set the whole desk to its start for chart and dasha inspection.</w:t>
      </w:r>
    </w:p>
    <w:p>
      <w:r>
        <w:br w:type="page"/>
      </w:r>
    </w:p>
    <w:p>
      <w:pPr>
        <w:spacing w:after="80"/>
      </w:pPr>
      <w:r>
        <w:rPr>
          <w:rFonts w:ascii="Calibri" w:hAnsi="Calibri"/>
          <w:b/>
          <w:color w:val="A5123B"/>
          <w:sz w:val="18"/>
        </w:rPr>
        <w:t>5 · GUIDED PREDICTION</w:t>
      </w:r>
    </w:p>
    <w:p>
      <w:pPr>
        <w:pStyle w:val="Heading1"/>
      </w:pPr>
      <w:r>
        <w:t>Focus: event-specific window finding</w:t>
      </w:r>
    </w:p>
    <w:p>
      <w:pPr>
        <w:spacing w:after="160"/>
        <w:pBdr>
          <w:bottom w:val="single" w:sz="8" w:space="1" w:color="A5123B"/>
        </w:pBdr>
      </w:pPr>
    </w:p>
    <w:p>
      <w:pPr>
        <w:spacing w:after="160"/>
      </w:pPr>
      <w:r>
        <w:t>Focus asks a concrete life-event question for a selected year, scores qualified windows and keeps the event definition reusable for future life areas.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327648" cy="355930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focus-event-searc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27648" cy="3559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Job Change focus search in full view, showing qualified windows and the event contract used to find them.</w:t>
      </w:r>
    </w:p>
    <w:p>
      <w:pPr>
        <w:pStyle w:val="ListBullet"/>
        <w:spacing w:after="100" w:line="264" w:lineRule="auto"/>
        <w:ind w:left="360" w:hanging="230"/>
      </w:pPr>
      <w:r>
        <w:rPr>
          <w:b/>
        </w:rPr>
        <w:t xml:space="preserve">Current focus areas. </w:t>
      </w:r>
      <w:r>
        <w:t>Job Change and Health use explicit, inspectable rules rather than generic house activation alone.</w:t>
      </w:r>
    </w:p>
    <w:p>
      <w:pPr>
        <w:pStyle w:val="ListBullet"/>
        <w:spacing w:after="100" w:line="264" w:lineRule="auto"/>
        <w:ind w:left="360" w:hanging="230"/>
      </w:pPr>
      <w:r>
        <w:rPr>
          <w:b/>
        </w:rPr>
        <w:t xml:space="preserve">Year search. </w:t>
      </w:r>
      <w:r>
        <w:t>Choose a year, optionally include developing windows, and run the bounded calculation.</w:t>
      </w:r>
    </w:p>
    <w:p>
      <w:pPr>
        <w:pStyle w:val="ListBullet"/>
        <w:spacing w:after="100" w:line="264" w:lineRule="auto"/>
        <w:ind w:left="360" w:hanging="230"/>
      </w:pPr>
      <w:r>
        <w:rPr>
          <w:b/>
        </w:rPr>
        <w:t xml:space="preserve">Qualified windows. </w:t>
      </w:r>
      <w:r>
        <w:t>Results expose confidence, peak date, period lords and concise reasons.</w:t>
      </w:r>
    </w:p>
    <w:p>
      <w:pPr>
        <w:pStyle w:val="ListBullet"/>
        <w:spacing w:after="100" w:line="264" w:lineRule="auto"/>
        <w:ind w:left="360" w:hanging="230"/>
      </w:pPr>
      <w:r>
        <w:rPr>
          <w:b/>
        </w:rPr>
        <w:t xml:space="preserve">Full view. </w:t>
      </w:r>
      <w:r>
        <w:t>A dedicated reading surface removes unrelated tabs and gives the result list and calculation pane room to breathe.</w:t>
      </w:r>
    </w:p>
    <w:p>
      <w:pPr>
        <w:pStyle w:val="ListBullet"/>
        <w:spacing w:after="100" w:line="264" w:lineRule="auto"/>
        <w:ind w:left="360" w:hanging="230"/>
      </w:pPr>
      <w:r>
        <w:rPr>
          <w:b/>
        </w:rPr>
        <w:t xml:space="preserve">Expandable architecture. </w:t>
      </w:r>
      <w:r>
        <w:t>The event definition, scoring gates and evidence sections can add future life areas without rebuilding the desk.</w:t>
      </w:r>
    </w:p>
    <w:p>
      <w:r>
        <w:br w:type="page"/>
      </w:r>
    </w:p>
    <w:p>
      <w:pPr>
        <w:spacing w:after="80"/>
      </w:pPr>
      <w:r>
        <w:rPr>
          <w:rFonts w:ascii="Calibri" w:hAnsi="Calibri"/>
          <w:b/>
          <w:color w:val="A5123B"/>
          <w:sz w:val="18"/>
        </w:rPr>
        <w:t>6 · TRUST LAYER</w:t>
      </w:r>
    </w:p>
    <w:p>
      <w:pPr>
        <w:pStyle w:val="Heading1"/>
      </w:pPr>
      <w:r>
        <w:t>Calculation trace: make the algorithm inspectable</w:t>
      </w:r>
    </w:p>
    <w:p>
      <w:pPr>
        <w:spacing w:after="160"/>
        <w:pBdr>
          <w:bottom w:val="single" w:sz="8" w:space="1" w:color="A5123B"/>
        </w:pBdr>
      </w:pPr>
    </w:p>
    <w:p>
      <w:pPr>
        <w:spacing w:after="160"/>
      </w:pPr>
      <w:r>
        <w:t>Every Focus result can be audited in plain language. The interface explains why a gate passed, which planets carried it and what independently confirmed the timing.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focus-calculation-tra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Expanded calculation for a qualified job-change window: score gates, houses, dasha connections and transit timing evidence.</w:t>
      </w:r>
    </w:p>
    <w:p>
      <w:pPr>
        <w:pStyle w:val="ListBullet"/>
        <w:spacing w:after="20" w:line="264" w:lineRule="auto"/>
        <w:ind w:left="360" w:hanging="230"/>
      </w:pPr>
      <w:r>
        <w:rPr>
          <w:b/>
        </w:rPr>
        <w:t xml:space="preserve">Career anchor. </w:t>
      </w:r>
      <w:r>
        <w:t>Shows whether employment/service or profession/status is opened by the active dasha.</w:t>
      </w:r>
    </w:p>
    <w:p>
      <w:pPr>
        <w:pStyle w:val="ListBullet"/>
        <w:spacing w:after="20" w:line="264" w:lineRule="auto"/>
        <w:ind w:left="360" w:hanging="230"/>
      </w:pPr>
      <w:r>
        <w:rPr>
          <w:b/>
        </w:rPr>
        <w:t xml:space="preserve">Transition signal. </w:t>
      </w:r>
      <w:r>
        <w:t>Shows concurrent initiative, transformation, disruption or release indicators.</w:t>
      </w:r>
    </w:p>
    <w:p>
      <w:pPr>
        <w:pStyle w:val="ListBullet"/>
        <w:spacing w:after="20" w:line="264" w:lineRule="auto"/>
        <w:ind w:left="360" w:hanging="230"/>
      </w:pPr>
      <w:r>
        <w:rPr>
          <w:b/>
        </w:rPr>
        <w:t xml:space="preserve">Dasha relevance. </w:t>
      </w:r>
      <w:r>
        <w:t>Names the MD/AD/PD lords and their natal portfolios.</w:t>
      </w:r>
    </w:p>
    <w:p>
      <w:pPr>
        <w:pStyle w:val="ListBullet"/>
        <w:spacing w:after="20" w:line="264" w:lineRule="auto"/>
        <w:ind w:left="360" w:hanging="230"/>
      </w:pPr>
      <w:r>
        <w:rPr>
          <w:b/>
        </w:rPr>
        <w:t xml:space="preserve">Independent timing. </w:t>
      </w:r>
      <w:r>
        <w:t>Surfaces direct transit hits, Jupiter–Saturn reinforcement, dasha boundaries, returns and repeated contacts.</w:t>
      </w:r>
    </w:p>
    <w:p>
      <w:pPr>
        <w:pStyle w:val="ListBullet"/>
        <w:spacing w:after="20" w:line="264" w:lineRule="auto"/>
        <w:ind w:left="360" w:hanging="230"/>
      </w:pPr>
      <w:r>
        <w:rPr>
          <w:b/>
        </w:rPr>
        <w:t xml:space="preserve">Outcome refinement. </w:t>
      </w:r>
      <w:r>
        <w:t>H2/H11 support and D10 confirmation refine the likely professional result.</w:t>
      </w:r>
    </w:p>
    <w:p>
      <w:r>
        <w:br w:type="page"/>
      </w:r>
    </w:p>
    <w:p>
      <w:pPr>
        <w:spacing w:after="80"/>
      </w:pPr>
      <w:r>
        <w:rPr>
          <w:rFonts w:ascii="Calibri" w:hAnsi="Calibri"/>
          <w:b/>
          <w:color w:val="A5123B"/>
          <w:sz w:val="18"/>
        </w:rPr>
        <w:t>7 · LONG-RANGE TIMING</w:t>
      </w:r>
    </w:p>
    <w:p>
      <w:pPr>
        <w:pStyle w:val="Heading1"/>
      </w:pPr>
      <w:r>
        <w:t>Double Transit Browser</w:t>
      </w:r>
    </w:p>
    <w:p>
      <w:pPr>
        <w:spacing w:after="160"/>
        <w:pBdr>
          <w:bottom w:val="single" w:sz="8" w:space="1" w:color="A5123B"/>
        </w:pBdr>
      </w:pPr>
    </w:p>
    <w:p>
      <w:pPr>
        <w:spacing w:after="160"/>
      </w:pPr>
      <w:r>
        <w:t>This calculator enumerates exact Jupiter–Saturn periods in which both planets activate the same natal house, without substituting guessed ephemeris values.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327648" cy="355930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double-transi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27648" cy="3559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Double Transit view: exact-year search, Current/Future/Past segmentation, filters and fully explained house cards.</w:t>
      </w:r>
    </w:p>
    <w:p>
      <w:pPr>
        <w:pStyle w:val="ListBullet"/>
        <w:spacing w:after="100" w:line="264" w:lineRule="auto"/>
        <w:ind w:left="360" w:hanging="230"/>
      </w:pPr>
      <w:r>
        <w:rPr>
          <w:b/>
        </w:rPr>
        <w:t xml:space="preserve">Exact windows. </w:t>
      </w:r>
      <w:r>
        <w:t>Swiss Ephemeris ingress boundaries are returned by the server and displayed with device-timezone timestamps.</w:t>
      </w:r>
    </w:p>
    <w:p>
      <w:pPr>
        <w:pStyle w:val="ListBullet"/>
        <w:spacing w:after="100" w:line="264" w:lineRule="auto"/>
        <w:ind w:left="360" w:hanging="230"/>
      </w:pPr>
      <w:r>
        <w:rPr>
          <w:b/>
        </w:rPr>
        <w:t xml:space="preserve">Contact modes. </w:t>
      </w:r>
      <w:r>
        <w:t>Filter Full double transits, aspect-only contacts or both.</w:t>
      </w:r>
    </w:p>
    <w:p>
      <w:pPr>
        <w:pStyle w:val="ListBullet"/>
        <w:spacing w:after="100" w:line="264" w:lineRule="auto"/>
        <w:ind w:left="360" w:hanging="230"/>
      </w:pPr>
      <w:r>
        <w:rPr>
          <w:b/>
        </w:rPr>
        <w:t xml:space="preserve">Life-area filters. </w:t>
      </w:r>
      <w:r>
        <w:t>Narrow results to career, relationships, wealth, children, property, health, education or travel.</w:t>
      </w:r>
    </w:p>
    <w:p>
      <w:pPr>
        <w:pStyle w:val="ListBullet"/>
        <w:spacing w:after="100" w:line="264" w:lineRule="auto"/>
        <w:ind w:left="360" w:hanging="230"/>
      </w:pPr>
      <w:r>
        <w:rPr>
          <w:b/>
        </w:rPr>
        <w:t xml:space="preserve">Interpretive card. </w:t>
      </w:r>
      <w:r>
        <w:t>Each result names the house, planet positions/aspects, natal sign/lord/occupants and the governing interpretation rule.</w:t>
      </w:r>
    </w:p>
    <w:p>
      <w:pPr>
        <w:pStyle w:val="ListBullet"/>
        <w:spacing w:after="100" w:line="264" w:lineRule="auto"/>
        <w:ind w:left="360" w:hanging="230"/>
      </w:pPr>
      <w:r>
        <w:rPr>
          <w:b/>
        </w:rPr>
        <w:t xml:space="preserve">Desk synchronisation. </w:t>
      </w:r>
      <w:r>
        <w:t>Selecting a card moves the desktop as-of to the window start for immediate chart and dasha verification.</w:t>
      </w:r>
    </w:p>
    <w:p>
      <w:r>
        <w:br w:type="page"/>
      </w:r>
    </w:p>
    <w:p>
      <w:pPr>
        <w:spacing w:after="80"/>
      </w:pPr>
      <w:r>
        <w:rPr>
          <w:rFonts w:ascii="Calibri" w:hAnsi="Calibri"/>
          <w:b/>
          <w:color w:val="A5123B"/>
          <w:sz w:val="18"/>
        </w:rPr>
        <w:t>8 · STRENGTH TOOLS</w:t>
      </w:r>
    </w:p>
    <w:p>
      <w:pPr>
        <w:pStyle w:val="Heading1"/>
      </w:pPr>
      <w:r>
        <w:t>Classical strength, presented for comparison</w:t>
      </w:r>
    </w:p>
    <w:p>
      <w:pPr>
        <w:spacing w:after="160"/>
        <w:pBdr>
          <w:bottom w:val="single" w:sz="8" w:space="1" w:color="A5123B"/>
        </w:pBdr>
      </w:pPr>
    </w:p>
    <w:p>
      <w:pPr>
        <w:spacing w:after="160"/>
      </w:pPr>
      <w:r>
        <w:t>Shadbala turns six-component planetary strength into a professional comparison surface while preserving the underlying point and Rūpa totals.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327648" cy="355930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shadbal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27648" cy="3559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Shadbala modal: leading and lowest relative strength, ranked planet cards, Rūpas, point totals and expandable components.</w:t>
      </w:r>
    </w:p>
    <w:p>
      <w:pPr>
        <w:pStyle w:val="ListBullet"/>
        <w:spacing w:after="100" w:line="264" w:lineRule="auto"/>
        <w:ind w:left="360" w:hanging="230"/>
      </w:pPr>
      <w:r>
        <w:rPr>
          <w:b/>
        </w:rPr>
        <w:t xml:space="preserve">At-a-glance range. </w:t>
      </w:r>
      <w:r>
        <w:t>Leading and lowest relative strength frame the chart before detailed comparison.</w:t>
      </w:r>
    </w:p>
    <w:p>
      <w:pPr>
        <w:pStyle w:val="ListBullet"/>
        <w:spacing w:after="100" w:line="264" w:lineRule="auto"/>
        <w:ind w:left="360" w:hanging="230"/>
      </w:pPr>
      <w:r>
        <w:rPr>
          <w:b/>
        </w:rPr>
        <w:t xml:space="preserve">Ranked profile. </w:t>
      </w:r>
      <w:r>
        <w:t>All seven planets show Rūpas, total points and an assessment grade.</w:t>
      </w:r>
    </w:p>
    <w:p>
      <w:pPr>
        <w:pStyle w:val="ListBullet"/>
        <w:spacing w:after="100" w:line="264" w:lineRule="auto"/>
        <w:ind w:left="360" w:hanging="230"/>
      </w:pPr>
      <w:r>
        <w:rPr>
          <w:b/>
        </w:rPr>
        <w:t xml:space="preserve">Component detail. </w:t>
      </w:r>
      <w:r>
        <w:t>Expand a planet to inspect positional, directional, temporal, motional, natural and aspectual strength.</w:t>
      </w:r>
    </w:p>
    <w:p>
      <w:pPr>
        <w:pStyle w:val="ListBullet"/>
        <w:spacing w:after="100" w:line="264" w:lineRule="auto"/>
        <w:ind w:left="360" w:hanging="230"/>
      </w:pPr>
      <w:r>
        <w:rPr>
          <w:b/>
        </w:rPr>
        <w:t xml:space="preserve">Supporting strips. </w:t>
      </w:r>
      <w:r>
        <w:t>Planetary dignity and Shadbala summaries remain available in the More workspace.</w:t>
      </w:r>
    </w:p>
    <w:p>
      <w:r>
        <w:br w:type="page"/>
      </w:r>
    </w:p>
    <w:p>
      <w:pPr>
        <w:spacing w:after="80"/>
      </w:pPr>
      <w:r>
        <w:rPr>
          <w:rFonts w:ascii="Calibri" w:hAnsi="Calibri"/>
          <w:b/>
          <w:color w:val="A5123B"/>
          <w:sz w:val="18"/>
        </w:rPr>
        <w:t>9 · CLASSICAL ANALYSIS</w:t>
      </w:r>
    </w:p>
    <w:p>
      <w:pPr>
        <w:pStyle w:val="Heading1"/>
      </w:pPr>
      <w:r>
        <w:t>Ashtakavarga &amp; Jaimini tools</w:t>
      </w:r>
    </w:p>
    <w:p>
      <w:pPr>
        <w:spacing w:after="160"/>
        <w:pBdr>
          <w:bottom w:val="single" w:sz="8" w:space="1" w:color="A5123B"/>
        </w:pBdr>
      </w:pPr>
    </w:p>
    <w:p>
      <w:pPr>
        <w:spacing w:after="160"/>
      </w:pPr>
      <w:r>
        <w:t>Full-screen tools preserve complex matrices and categorical results without compressing them into unreadable popups.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ashtakavarg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Ashtakavarga screen: Birth/Transit/Compare modes with Matrix, SAV, BAV and Predictions sections.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3794760" cy="213455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chara-karaka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2134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Chara Karakas: ranked Jaimini significators with role descriptions; available from More alongside planetary dignities.</w:t>
      </w:r>
    </w:p>
    <w:p>
      <w:pPr>
        <w:pStyle w:val="ListBullet"/>
        <w:spacing w:after="20" w:line="264" w:lineRule="auto"/>
        <w:ind w:left="360" w:hanging="230"/>
      </w:pPr>
      <w:r>
        <w:rPr>
          <w:b/>
        </w:rPr>
        <w:t xml:space="preserve">Ashtakavarga modes. </w:t>
      </w:r>
      <w:r>
        <w:t>Birth, Transit and Compare keep the reference frame explicit.</w:t>
      </w:r>
    </w:p>
    <w:p>
      <w:pPr>
        <w:pStyle w:val="ListBullet"/>
        <w:spacing w:after="20" w:line="264" w:lineRule="auto"/>
        <w:ind w:left="360" w:hanging="230"/>
      </w:pPr>
      <w:r>
        <w:rPr>
          <w:b/>
        </w:rPr>
        <w:t xml:space="preserve">Ashtakavarga sections. </w:t>
      </w:r>
      <w:r>
        <w:t>Matrix, SAV, BAV and Predictions are direct tabs; wide tables support touch and horizontal scrolling on mobile.</w:t>
      </w:r>
    </w:p>
    <w:p>
      <w:pPr>
        <w:pStyle w:val="ListBullet"/>
        <w:spacing w:after="20" w:line="264" w:lineRule="auto"/>
        <w:ind w:left="360" w:hanging="230"/>
      </w:pPr>
      <w:r>
        <w:rPr>
          <w:b/>
        </w:rPr>
        <w:t xml:space="preserve">Chara Karakas. </w:t>
      </w:r>
      <w:r>
        <w:t>Atmakaraka through Darakaraka are shown in degree order with their interpretive roles.</w:t>
      </w:r>
    </w:p>
    <w:p>
      <w:pPr>
        <w:pStyle w:val="ListBullet"/>
        <w:spacing w:after="20" w:line="264" w:lineRule="auto"/>
        <w:ind w:left="360" w:hanging="230"/>
      </w:pPr>
      <w:r>
        <w:rPr>
          <w:b/>
        </w:rPr>
        <w:t xml:space="preserve">Dignities. </w:t>
      </w:r>
      <w:r>
        <w:t>Exaltation, debilitation and other dignity states are available as a compact summary and detailed tool.</w:t>
      </w:r>
    </w:p>
    <w:p>
      <w:r>
        <w:br w:type="page"/>
      </w:r>
    </w:p>
    <w:p>
      <w:pPr>
        <w:spacing w:after="80"/>
      </w:pPr>
      <w:r>
        <w:rPr>
          <w:rFonts w:ascii="Calibri" w:hAnsi="Calibri"/>
          <w:b/>
          <w:color w:val="A5123B"/>
          <w:sz w:val="18"/>
        </w:rPr>
        <w:t>10 · RESPONSIVE WORKSPACE</w:t>
      </w:r>
    </w:p>
    <w:p>
      <w:pPr>
        <w:pStyle w:val="Heading1"/>
      </w:pPr>
      <w:r>
        <w:t>Mobile web: charts and dashas</w:t>
      </w:r>
    </w:p>
    <w:p>
      <w:pPr>
        <w:spacing w:after="160"/>
        <w:pBdr>
          <w:bottom w:val="single" w:sz="8" w:space="1" w:color="A5123B"/>
        </w:pBdr>
      </w:pPr>
    </w:p>
    <w:p>
      <w:pPr>
        <w:spacing w:after="160"/>
      </w:pPr>
      <w:r>
        <w:t>On mobile, the desk becomes four continuous bottom-tab workspaces. Controls stay thumb-reachable while the selected content receives the full viewport.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680"/>
            <w:vAlign w:val="top"/>
            <w:tcMar>
              <w:top w:w="20" w:type="dxa"/>
              <w:start w:w="60" w:type="dxa"/>
              <w:bottom w:w="20" w:type="dxa"/>
              <w:end w:w="6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465207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-mobile-chart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6520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vAlign w:val="top"/>
            <w:tcMar>
              <w:top w:w="20" w:type="dxa"/>
              <w:start w:w="60" w:type="dxa"/>
              <w:bottom w:w="20" w:type="dxa"/>
              <w:end w:w="6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465207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-mobile-dasha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6520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80"/>
            <w:tcMar>
              <w:top w:w="20" w:type="dxa"/>
              <w:start w:w="80" w:type="dxa"/>
              <w:bottom w:w="20" w:type="dxa"/>
              <w:end w:w="8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Caption"/>
              <w:jc w:val="center"/>
            </w:pPr>
            <w:r>
              <w:t>Chart: full-width D1, activation legend, insight entry point and horizontally scrollable chart browser.</w:t>
            </w:r>
          </w:p>
        </w:tc>
        <w:tc>
          <w:tcPr>
            <w:tcW w:type="dxa" w:w="4680"/>
            <w:tcMar>
              <w:top w:w="20" w:type="dxa"/>
              <w:start w:w="80" w:type="dxa"/>
              <w:bottom w:w="20" w:type="dxa"/>
              <w:end w:w="8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Caption"/>
              <w:jc w:val="center"/>
            </w:pPr>
            <w:r>
              <w:t>Dasha: as-of controls plus five simultaneous period levels and bottom system tabs.</w:t>
            </w:r>
          </w:p>
        </w:tc>
      </w:tr>
    </w:tbl>
    <w:p>
      <w:pPr>
        <w:pStyle w:val="ListBullet"/>
        <w:spacing w:after="20" w:line="264" w:lineRule="auto"/>
        <w:ind w:left="360" w:hanging="230"/>
      </w:pPr>
      <w:r>
        <w:rPr>
          <w:b/>
        </w:rPr>
        <w:t xml:space="preserve">Chart browser. </w:t>
      </w:r>
      <w:r>
        <w:t>All divisional charts, Transit, Kārakāṁśa and Swāṁśa remain available in a horizontal bottom row.</w:t>
      </w:r>
    </w:p>
    <w:p>
      <w:pPr>
        <w:pStyle w:val="ListBullet"/>
        <w:spacing w:after="20" w:line="264" w:lineRule="auto"/>
        <w:ind w:left="360" w:hanging="230"/>
      </w:pPr>
      <w:r>
        <w:rPr>
          <w:b/>
        </w:rPr>
        <w:t xml:space="preserve">Readable hierarchy. </w:t>
      </w:r>
      <w:r>
        <w:t>Chart meta is open by default but collapsible; active-house explanation is a prominent action.</w:t>
      </w:r>
    </w:p>
    <w:p>
      <w:pPr>
        <w:pStyle w:val="ListBullet"/>
        <w:spacing w:after="20" w:line="264" w:lineRule="auto"/>
        <w:ind w:left="360" w:hanging="230"/>
      </w:pPr>
      <w:r>
        <w:rPr>
          <w:b/>
        </w:rPr>
        <w:t xml:space="preserve">Dasha density. </w:t>
      </w:r>
      <w:r>
        <w:t>Horizontal level rows retain surrounding periods without forcing a long vertical list.</w:t>
      </w:r>
    </w:p>
    <w:p>
      <w:pPr>
        <w:pStyle w:val="ListBullet"/>
        <w:spacing w:after="20" w:line="264" w:lineRule="auto"/>
        <w:ind w:left="360" w:hanging="230"/>
      </w:pPr>
      <w:r>
        <w:rPr>
          <w:b/>
        </w:rPr>
        <w:t xml:space="preserve">System tabs. </w:t>
      </w:r>
      <w:r>
        <w:t>Vimshottari, Yogini, Kalachakra and Chara form a continuous bottom tab bar.</w:t>
      </w:r>
    </w:p>
    <w:p>
      <w:r>
        <w:br w:type="page"/>
      </w:r>
    </w:p>
    <w:p>
      <w:pPr>
        <w:spacing w:after="80"/>
      </w:pPr>
      <w:r>
        <w:rPr>
          <w:rFonts w:ascii="Calibri" w:hAnsi="Calibri"/>
          <w:b/>
          <w:color w:val="A5123B"/>
          <w:sz w:val="18"/>
        </w:rPr>
        <w:t>11 · RESPONSIVE WORKSPACE</w:t>
      </w:r>
    </w:p>
    <w:p>
      <w:pPr>
        <w:pStyle w:val="Heading1"/>
      </w:pPr>
      <w:r>
        <w:t>Mobile web: activations and analysis</w:t>
      </w:r>
    </w:p>
    <w:p>
      <w:pPr>
        <w:spacing w:after="160"/>
        <w:pBdr>
          <w:bottom w:val="single" w:sz="8" w:space="1" w:color="A5123B"/>
        </w:pBdr>
      </w:pPr>
    </w:p>
    <w:p>
      <w:pPr>
        <w:spacing w:after="160"/>
      </w:pPr>
      <w:r>
        <w:t>The mobile Act and More workspaces separate predictive timing from reference tables while preserving fast switching and readable type.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680"/>
            <w:vAlign w:val="top"/>
            <w:tcMar>
              <w:top w:w="20" w:type="dxa"/>
              <w:start w:w="60" w:type="dxa"/>
              <w:bottom w:w="20" w:type="dxa"/>
              <w:end w:w="6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465207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mobile-activations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6520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vAlign w:val="top"/>
            <w:tcMar>
              <w:top w:w="20" w:type="dxa"/>
              <w:start w:w="60" w:type="dxa"/>
              <w:bottom w:w="20" w:type="dxa"/>
              <w:end w:w="6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465031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-mobile-mor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650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80"/>
            <w:tcMar>
              <w:top w:w="20" w:type="dxa"/>
              <w:start w:w="80" w:type="dxa"/>
              <w:bottom w:w="20" w:type="dxa"/>
              <w:end w:w="8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Caption"/>
              <w:jc w:val="center"/>
            </w:pPr>
            <w:r>
              <w:t>Act: compact legend, current houses, upcoming windows and Timeline/Focus/Map/Double tabs.</w:t>
            </w:r>
          </w:p>
        </w:tc>
        <w:tc>
          <w:tcPr>
            <w:tcW w:type="dxa" w:w="4680"/>
            <w:tcMar>
              <w:top w:w="20" w:type="dxa"/>
              <w:start w:w="80" w:type="dxa"/>
              <w:bottom w:w="20" w:type="dxa"/>
              <w:end w:w="8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Caption"/>
              <w:jc w:val="center"/>
            </w:pPr>
            <w:r>
              <w:t>More: dignity, Shadbala, Ashtakavarga, Chara Karakas and analysis tables with bottom section tabs.</w:t>
            </w:r>
          </w:p>
        </w:tc>
      </w:tr>
    </w:tbl>
    <w:p>
      <w:pPr>
        <w:pStyle w:val="ListBullet"/>
        <w:spacing w:after="20" w:line="264" w:lineRule="auto"/>
        <w:ind w:left="360" w:hanging="230"/>
      </w:pPr>
      <w:r>
        <w:rPr>
          <w:b/>
        </w:rPr>
        <w:t xml:space="preserve">Activation lenses. </w:t>
      </w:r>
      <w:r>
        <w:t>Timeline, Focus, Map and Double Transit are fixed as mobile bottom tabs.</w:t>
      </w:r>
    </w:p>
    <w:p>
      <w:pPr>
        <w:pStyle w:val="ListBullet"/>
        <w:spacing w:after="20" w:line="264" w:lineRule="auto"/>
        <w:ind w:left="360" w:hanging="230"/>
      </w:pPr>
      <w:r>
        <w:rPr>
          <w:b/>
        </w:rPr>
        <w:t xml:space="preserve">Natural page scroll. </w:t>
      </w:r>
      <w:r>
        <w:t>Lists participate in the screen scroll instead of trapping touch gestures in nested panes.</w:t>
      </w:r>
    </w:p>
    <w:p>
      <w:pPr>
        <w:pStyle w:val="ListBullet"/>
        <w:spacing w:after="20" w:line="264" w:lineRule="auto"/>
        <w:ind w:left="360" w:hanging="230"/>
      </w:pPr>
      <w:r>
        <w:rPr>
          <w:b/>
        </w:rPr>
        <w:t xml:space="preserve">More sections. </w:t>
      </w:r>
      <w:r>
        <w:t>House, Positions, Yogas, Friends, Lords, Aspects and Meta are accessible from the bottom section row.</w:t>
      </w:r>
    </w:p>
    <w:p>
      <w:pPr>
        <w:pStyle w:val="ListBullet"/>
        <w:spacing w:after="20" w:line="264" w:lineRule="auto"/>
        <w:ind w:left="360" w:hanging="230"/>
      </w:pPr>
      <w:r>
        <w:rPr>
          <w:b/>
        </w:rPr>
        <w:t xml:space="preserve">Professional touch targets. </w:t>
      </w:r>
      <w:r>
        <w:t>Continuous tab rows, readable typography and thicker selection states replace tiny chips.</w:t>
      </w:r>
    </w:p>
    <w:p>
      <w:r>
        <w:br w:type="page"/>
      </w:r>
    </w:p>
    <w:p>
      <w:pPr>
        <w:spacing w:after="80"/>
      </w:pPr>
      <w:r>
        <w:rPr>
          <w:rFonts w:ascii="Calibri" w:hAnsi="Calibri"/>
          <w:b/>
          <w:color w:val="A5123B"/>
          <w:sz w:val="18"/>
        </w:rPr>
        <w:t>12 · WORKING METHOD</w:t>
      </w:r>
    </w:p>
    <w:p>
      <w:pPr>
        <w:pStyle w:val="Heading1"/>
      </w:pPr>
      <w:r>
        <w:t>Recommended predictive workflow</w:t>
      </w:r>
    </w:p>
    <w:p>
      <w:pPr>
        <w:spacing w:after="160"/>
        <w:pBdr>
          <w:bottom w:val="single" w:sz="8" w:space="1" w:color="A5123B"/>
        </w:pBdr>
      </w:pPr>
    </w:p>
    <w:p>
      <w:pPr>
        <w:spacing w:after="160"/>
      </w:pPr>
      <w:r>
        <w:t>Use the desk as a sequence of tests. Each stage narrows the question and gives the next stage a concrete date, house or planet to inspect.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70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val="single" w:sz="5" w:color="DDCFC6"/>
            </w:tcBorders>
            <w:shd w:fill="A5123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1</w:t>
            </w:r>
          </w:p>
        </w:tc>
        <w:tc>
          <w:tcPr>
            <w:tcW w:type="dxa" w:w="270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val="single" w:sz="5" w:color="DDCFC6"/>
            </w:tcBorders>
          </w:tcPr>
          <w:p>
            <w:r>
              <w:rPr>
                <w:b/>
                <w:color w:val="7F0D2D"/>
              </w:rPr>
              <w:t>Establish the natal frame</w:t>
            </w:r>
          </w:p>
        </w:tc>
        <w:tc>
          <w:tcPr>
            <w:tcW w:type="dxa" w:w="596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val="single" w:sz="5" w:color="DDCFC6"/>
            </w:tcBorders>
          </w:tcPr>
          <w:p>
            <w:r>
              <w:t>Read D1, relevant divisional chart, strengths, dignity and the special-point/meta strips.</w:t>
            </w:r>
          </w:p>
        </w:tc>
      </w:tr>
      <w:tr>
        <w:tc>
          <w:tcPr>
            <w:tcW w:type="dxa" w:w="70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val="single" w:sz="5" w:color="DDCFC6"/>
            </w:tcBorders>
            <w:shd w:fill="A5123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2</w:t>
            </w:r>
          </w:p>
        </w:tc>
        <w:tc>
          <w:tcPr>
            <w:tcW w:type="dxa" w:w="270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val="single" w:sz="5" w:color="DDCFC6"/>
            </w:tcBorders>
          </w:tcPr>
          <w:p>
            <w:r>
              <w:rPr>
                <w:b/>
                <w:color w:val="7F0D2D"/>
              </w:rPr>
              <w:t>Choose a concrete question</w:t>
            </w:r>
          </w:p>
        </w:tc>
        <w:tc>
          <w:tcPr>
            <w:tcW w:type="dxa" w:w="596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val="single" w:sz="5" w:color="DDCFC6"/>
            </w:tcBorders>
          </w:tcPr>
          <w:p>
            <w:r>
              <w:t>Use Focus for Job Change or Health; use Timeline/Map for open-ended house activation.</w:t>
            </w:r>
          </w:p>
        </w:tc>
      </w:tr>
      <w:tr>
        <w:tc>
          <w:tcPr>
            <w:tcW w:type="dxa" w:w="70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val="single" w:sz="5" w:color="DDCFC6"/>
            </w:tcBorders>
            <w:shd w:fill="A5123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3</w:t>
            </w:r>
          </w:p>
        </w:tc>
        <w:tc>
          <w:tcPr>
            <w:tcW w:type="dxa" w:w="270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val="single" w:sz="5" w:color="DDCFC6"/>
            </w:tcBorders>
          </w:tcPr>
          <w:p>
            <w:r>
              <w:rPr>
                <w:b/>
                <w:color w:val="7F0D2D"/>
              </w:rPr>
              <w:t>Confirm dasha permission</w:t>
            </w:r>
          </w:p>
        </w:tc>
        <w:tc>
          <w:tcPr>
            <w:tcW w:type="dxa" w:w="596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val="single" w:sz="5" w:color="DDCFC6"/>
            </w:tcBorders>
          </w:tcPr>
          <w:p>
            <w:r>
              <w:t>Inspect MD/AD/PD natal portfolios and the five-level chain at the candidate date.</w:t>
            </w:r>
          </w:p>
        </w:tc>
      </w:tr>
      <w:tr>
        <w:tc>
          <w:tcPr>
            <w:tcW w:type="dxa" w:w="70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val="single" w:sz="5" w:color="DDCFC6"/>
            </w:tcBorders>
            <w:shd w:fill="A5123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4</w:t>
            </w:r>
          </w:p>
        </w:tc>
        <w:tc>
          <w:tcPr>
            <w:tcW w:type="dxa" w:w="270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val="single" w:sz="5" w:color="DDCFC6"/>
            </w:tcBorders>
          </w:tcPr>
          <w:p>
            <w:r>
              <w:rPr>
                <w:b/>
                <w:color w:val="7F0D2D"/>
              </w:rPr>
              <w:t>Confirm independent timing</w:t>
            </w:r>
          </w:p>
        </w:tc>
        <w:tc>
          <w:tcPr>
            <w:tcW w:type="dxa" w:w="596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val="single" w:sz="5" w:color="DDCFC6"/>
            </w:tcBorders>
          </w:tcPr>
          <w:p>
            <w:r>
              <w:t>Check direct transit contact, repeated natal relationships, exact returns, boundaries and Double Transit.</w:t>
            </w:r>
          </w:p>
        </w:tc>
      </w:tr>
      <w:tr>
        <w:tc>
          <w:tcPr>
            <w:tcW w:type="dxa" w:w="70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val="single" w:sz="5" w:color="DDCFC6"/>
            </w:tcBorders>
            <w:shd w:fill="A5123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5</w:t>
            </w:r>
          </w:p>
        </w:tc>
        <w:tc>
          <w:tcPr>
            <w:tcW w:type="dxa" w:w="270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val="single" w:sz="5" w:color="DDCFC6"/>
            </w:tcBorders>
          </w:tcPr>
          <w:p>
            <w:r>
              <w:rPr>
                <w:b/>
                <w:color w:val="7F0D2D"/>
              </w:rPr>
              <w:t>Refine strength and outcome</w:t>
            </w:r>
          </w:p>
        </w:tc>
        <w:tc>
          <w:tcPr>
            <w:tcW w:type="dxa" w:w="596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val="single" w:sz="5" w:color="DDCFC6"/>
            </w:tcBorders>
          </w:tcPr>
          <w:p>
            <w:r>
              <w:t>Use D9/D10 or the relevant varga, Shadbala, dignity and Ashtakavarga support.</w:t>
            </w:r>
          </w:p>
        </w:tc>
      </w:tr>
      <w:tr>
        <w:tc>
          <w:tcPr>
            <w:tcW w:type="dxa" w:w="70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val="single" w:sz="5" w:color="DDCFC6"/>
            </w:tcBorders>
            <w:shd w:fill="A5123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6</w:t>
            </w:r>
          </w:p>
        </w:tc>
        <w:tc>
          <w:tcPr>
            <w:tcW w:type="dxa" w:w="270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val="single" w:sz="5" w:color="DDCFC6"/>
            </w:tcBorders>
          </w:tcPr>
          <w:p>
            <w:r>
              <w:rPr>
                <w:b/>
                <w:color w:val="7F0D2D"/>
              </w:rPr>
              <w:t>Move the desk as-of</w:t>
            </w:r>
          </w:p>
        </w:tc>
        <w:tc>
          <w:tcPr>
            <w:tcW w:type="dxa" w:w="596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val="single" w:sz="5" w:color="DDCFC6"/>
            </w:tcBorders>
          </w:tcPr>
          <w:p>
            <w:r>
              <w:t>Open the candidate date so charts, dashas and activation evidence describe the same moment.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shd w:fill="F2E9E2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7F0D2D"/>
              </w:rPr>
              <w:t>Interpretation principle: activation is timing evidence, not a guaranteed event. Read natal context, dasha permission, transit confirmation and divisional/strength support together.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Calibri" w:hAnsi="Calibri"/>
          <w:b/>
          <w:color w:val="A5123B"/>
          <w:sz w:val="18"/>
        </w:rPr>
        <w:t>APPENDIX</w:t>
      </w:r>
    </w:p>
    <w:p>
      <w:pPr>
        <w:pStyle w:val="Heading1"/>
      </w:pPr>
      <w:r>
        <w:t>Feature index</w:t>
      </w:r>
    </w:p>
    <w:p>
      <w:pPr>
        <w:spacing w:after="160"/>
        <w:pBdr>
          <w:bottom w:val="single" w:sz="8" w:space="1" w:color="A5123B"/>
        </w:pBdr>
      </w:pPr>
    </w:p>
    <w:p>
      <w:pPr>
        <w:spacing w:after="160"/>
      </w:pPr>
      <w:r>
        <w:t>A compact inventory of the desk’s visible capabilities and the question each one answers.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100"/>
            <w:shd w:fill="7F0D2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DCFC6"/>
              <w:start w:val="single" w:sz="4" w:color="DDCFC6"/>
              <w:bottom w:val="single" w:sz="4" w:color="DDCFC6"/>
              <w:end w:val="single" w:sz="4" w:color="DDCFC6"/>
            </w:tcBorders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2700"/>
            <w:shd w:fill="7F0D2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DCFC6"/>
              <w:start w:val="single" w:sz="4" w:color="DDCFC6"/>
              <w:bottom w:val="single" w:sz="4" w:color="DDCFC6"/>
              <w:end w:val="single" w:sz="4" w:color="DDCFC6"/>
            </w:tcBorders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4560"/>
            <w:shd w:fill="7F0D2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DCFC6"/>
              <w:start w:val="single" w:sz="4" w:color="DDCFC6"/>
              <w:bottom w:val="single" w:sz="4" w:color="DDCFC6"/>
              <w:end w:val="single" w:sz="4" w:color="DDCFC6"/>
            </w:tcBorders>
          </w:tcPr>
          <w:p>
            <w:r>
              <w:rPr>
                <w:b/>
                <w:color w:val="FFFFFF"/>
              </w:rPr>
              <w:t>What it gives the astrologer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DCFC6"/>
              <w:start w:val="single" w:sz="4" w:color="DDCFC6"/>
              <w:bottom w:val="single" w:sz="4" w:color="DDCFC6"/>
              <w:end w:val="single" w:sz="4" w:color="DDCFC6"/>
            </w:tcBorders>
          </w:tcPr>
          <w:p>
            <w:pPr>
              <w:spacing w:after="0"/>
            </w:pPr>
            <w:r>
              <w:t>Header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DCFC6"/>
              <w:start w:val="single" w:sz="4" w:color="DDCFC6"/>
              <w:bottom w:val="single" w:sz="4" w:color="DDCFC6"/>
              <w:end w:val="single" w:sz="4" w:color="DDCFC6"/>
            </w:tcBorders>
          </w:tcPr>
          <w:p>
            <w:pPr>
              <w:spacing w:after="0"/>
            </w:pPr>
            <w:r>
              <w:t>As-of navigation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DCFC6"/>
              <w:start w:val="single" w:sz="4" w:color="DDCFC6"/>
              <w:bottom w:val="single" w:sz="4" w:color="DDCFC6"/>
              <w:end w:val="single" w:sz="4" w:color="DDCFC6"/>
            </w:tcBorders>
          </w:tcPr>
          <w:p>
            <w:pPr>
              <w:spacing w:after="0"/>
            </w:pPr>
            <w:r>
              <w:t>What sky and dasha period am I reading right now?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FF9F6"/>
            <w:tcBorders>
              <w:top w:val="single" w:sz="4" w:color="DDCFC6"/>
              <w:start w:val="single" w:sz="4" w:color="DDCFC6"/>
              <w:bottom w:val="single" w:sz="4" w:color="DDCFC6"/>
              <w:end w:val="single" w:sz="4" w:color="DDCFC6"/>
            </w:tcBorders>
          </w:tcPr>
          <w:p>
            <w:pPr>
              <w:spacing w:after="0"/>
            </w:pPr>
            <w:r>
              <w:t>Header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FF9F6"/>
            <w:tcBorders>
              <w:top w:val="single" w:sz="4" w:color="DDCFC6"/>
              <w:start w:val="single" w:sz="4" w:color="DDCFC6"/>
              <w:bottom w:val="single" w:sz="4" w:color="DDCFC6"/>
              <w:end w:val="single" w:sz="4" w:color="DDCFC6"/>
            </w:tcBorders>
          </w:tcPr>
          <w:p>
            <w:pPr>
              <w:spacing w:after="0"/>
            </w:pPr>
            <w:r>
              <w:t>Birth Panchanga &amp; meta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shd w:fill="FFF9F6"/>
            <w:tcBorders>
              <w:top w:val="single" w:sz="4" w:color="DDCFC6"/>
              <w:start w:val="single" w:sz="4" w:color="DDCFC6"/>
              <w:bottom w:val="single" w:sz="4" w:color="DDCFC6"/>
              <w:end w:val="single" w:sz="4" w:color="DDCFC6"/>
            </w:tcBorders>
          </w:tcPr>
          <w:p>
            <w:pPr>
              <w:spacing w:after="0"/>
            </w:pPr>
            <w:r>
              <w:t>What birth-time qualities and special points frame the chart?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DCFC6"/>
              <w:start w:val="single" w:sz="4" w:color="DDCFC6"/>
              <w:bottom w:val="single" w:sz="4" w:color="DDCFC6"/>
              <w:end w:val="single" w:sz="4" w:color="DDCFC6"/>
            </w:tcBorders>
          </w:tcPr>
          <w:p>
            <w:pPr>
              <w:spacing w:after="0"/>
            </w:pPr>
            <w:r>
              <w:t>Charts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DCFC6"/>
              <w:start w:val="single" w:sz="4" w:color="DDCFC6"/>
              <w:bottom w:val="single" w:sz="4" w:color="DDCFC6"/>
              <w:end w:val="single" w:sz="4" w:color="DDCFC6"/>
            </w:tcBorders>
          </w:tcPr>
          <w:p>
            <w:pPr>
              <w:spacing w:after="0"/>
            </w:pPr>
            <w:r>
              <w:t>D1 + complete varga set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DCFC6"/>
              <w:start w:val="single" w:sz="4" w:color="DDCFC6"/>
              <w:bottom w:val="single" w:sz="4" w:color="DDCFC6"/>
              <w:end w:val="single" w:sz="4" w:color="DDCFC6"/>
            </w:tcBorders>
          </w:tcPr>
          <w:p>
            <w:pPr>
              <w:spacing w:after="0"/>
            </w:pPr>
            <w:r>
              <w:t>Where is the promise, and in which life domain does it specialise?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FF9F6"/>
            <w:tcBorders>
              <w:top w:val="single" w:sz="4" w:color="DDCFC6"/>
              <w:start w:val="single" w:sz="4" w:color="DDCFC6"/>
              <w:bottom w:val="single" w:sz="4" w:color="DDCFC6"/>
              <w:end w:val="single" w:sz="4" w:color="DDCFC6"/>
            </w:tcBorders>
          </w:tcPr>
          <w:p>
            <w:pPr>
              <w:spacing w:after="0"/>
            </w:pPr>
            <w:r>
              <w:t>Charts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FF9F6"/>
            <w:tcBorders>
              <w:top w:val="single" w:sz="4" w:color="DDCFC6"/>
              <w:start w:val="single" w:sz="4" w:color="DDCFC6"/>
              <w:bottom w:val="single" w:sz="4" w:color="DDCFC6"/>
              <w:end w:val="single" w:sz="4" w:color="DDCFC6"/>
            </w:tcBorders>
          </w:tcPr>
          <w:p>
            <w:pPr>
              <w:spacing w:after="0"/>
            </w:pPr>
            <w:r>
              <w:t>Kārakāṁśa / Swāṁśa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shd w:fill="FFF9F6"/>
            <w:tcBorders>
              <w:top w:val="single" w:sz="4" w:color="DDCFC6"/>
              <w:start w:val="single" w:sz="4" w:color="DDCFC6"/>
              <w:bottom w:val="single" w:sz="4" w:color="DDCFC6"/>
              <w:end w:val="single" w:sz="4" w:color="DDCFC6"/>
            </w:tcBorders>
          </w:tcPr>
          <w:p>
            <w:pPr>
              <w:spacing w:after="0"/>
            </w:pPr>
            <w:r>
              <w:t>What Jaimini soul and divisional ascendant contexts apply?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DCFC6"/>
              <w:start w:val="single" w:sz="4" w:color="DDCFC6"/>
              <w:bottom w:val="single" w:sz="4" w:color="DDCFC6"/>
              <w:end w:val="single" w:sz="4" w:color="DDCFC6"/>
            </w:tcBorders>
          </w:tcPr>
          <w:p>
            <w:pPr>
              <w:spacing w:after="0"/>
            </w:pPr>
            <w:r>
              <w:t>Charts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DCFC6"/>
              <w:start w:val="single" w:sz="4" w:color="DDCFC6"/>
              <w:bottom w:val="single" w:sz="4" w:color="DDCFC6"/>
              <w:end w:val="single" w:sz="4" w:color="DDCFC6"/>
            </w:tcBorders>
          </w:tcPr>
          <w:p>
            <w:pPr>
              <w:spacing w:after="0"/>
            </w:pPr>
            <w:r>
              <w:t>Transit + activation colour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DCFC6"/>
              <w:start w:val="single" w:sz="4" w:color="DDCFC6"/>
              <w:bottom w:val="single" w:sz="4" w:color="DDCFC6"/>
              <w:end w:val="single" w:sz="4" w:color="DDCFC6"/>
            </w:tcBorders>
          </w:tcPr>
          <w:p>
            <w:pPr>
              <w:spacing w:after="0"/>
            </w:pPr>
            <w:r>
              <w:t>Which natal houses are being timed at the selected moment?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FF9F6"/>
            <w:tcBorders>
              <w:top w:val="single" w:sz="4" w:color="DDCFC6"/>
              <w:start w:val="single" w:sz="4" w:color="DDCFC6"/>
              <w:bottom w:val="single" w:sz="4" w:color="DDCFC6"/>
              <w:end w:val="single" w:sz="4" w:color="DDCFC6"/>
            </w:tcBorders>
          </w:tcPr>
          <w:p>
            <w:pPr>
              <w:spacing w:after="0"/>
            </w:pPr>
            <w:r>
              <w:t>Dashas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FF9F6"/>
            <w:tcBorders>
              <w:top w:val="single" w:sz="4" w:color="DDCFC6"/>
              <w:start w:val="single" w:sz="4" w:color="DDCFC6"/>
              <w:bottom w:val="single" w:sz="4" w:color="DDCFC6"/>
              <w:end w:val="single" w:sz="4" w:color="DDCFC6"/>
            </w:tcBorders>
          </w:tcPr>
          <w:p>
            <w:pPr>
              <w:spacing w:after="0"/>
            </w:pPr>
            <w:r>
              <w:t>Vimshottari / Yogini / Kalachakra / Chara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shd w:fill="FFF9F6"/>
            <w:tcBorders>
              <w:top w:val="single" w:sz="4" w:color="DDCFC6"/>
              <w:start w:val="single" w:sz="4" w:color="DDCFC6"/>
              <w:bottom w:val="single" w:sz="4" w:color="DDCFC6"/>
              <w:end w:val="single" w:sz="4" w:color="DDCFC6"/>
            </w:tcBorders>
          </w:tcPr>
          <w:p>
            <w:pPr>
              <w:spacing w:after="0"/>
            </w:pPr>
            <w:r>
              <w:t>Which period framework is currently operative?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DCFC6"/>
              <w:start w:val="single" w:sz="4" w:color="DDCFC6"/>
              <w:bottom w:val="single" w:sz="4" w:color="DDCFC6"/>
              <w:end w:val="single" w:sz="4" w:color="DDCFC6"/>
            </w:tcBorders>
          </w:tcPr>
          <w:p>
            <w:pPr>
              <w:spacing w:after="0"/>
            </w:pPr>
            <w:r>
              <w:t>Activations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DCFC6"/>
              <w:start w:val="single" w:sz="4" w:color="DDCFC6"/>
              <w:bottom w:val="single" w:sz="4" w:color="DDCFC6"/>
              <w:end w:val="single" w:sz="4" w:color="DDCFC6"/>
            </w:tcBorders>
          </w:tcPr>
          <w:p>
            <w:pPr>
              <w:spacing w:after="0"/>
            </w:pPr>
            <w:r>
              <w:t>Timeline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DCFC6"/>
              <w:start w:val="single" w:sz="4" w:color="DDCFC6"/>
              <w:bottom w:val="single" w:sz="4" w:color="DDCFC6"/>
              <w:end w:val="single" w:sz="4" w:color="DDCFC6"/>
            </w:tcBorders>
          </w:tcPr>
          <w:p>
            <w:pPr>
              <w:spacing w:after="0"/>
            </w:pPr>
            <w:r>
              <w:t>What is active now and what changes next?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FF9F6"/>
            <w:tcBorders>
              <w:top w:val="single" w:sz="4" w:color="DDCFC6"/>
              <w:start w:val="single" w:sz="4" w:color="DDCFC6"/>
              <w:bottom w:val="single" w:sz="4" w:color="DDCFC6"/>
              <w:end w:val="single" w:sz="4" w:color="DDCFC6"/>
            </w:tcBorders>
          </w:tcPr>
          <w:p>
            <w:pPr>
              <w:spacing w:after="0"/>
            </w:pPr>
            <w:r>
              <w:t>Activations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FF9F6"/>
            <w:tcBorders>
              <w:top w:val="single" w:sz="4" w:color="DDCFC6"/>
              <w:start w:val="single" w:sz="4" w:color="DDCFC6"/>
              <w:bottom w:val="single" w:sz="4" w:color="DDCFC6"/>
              <w:end w:val="single" w:sz="4" w:color="DDCFC6"/>
            </w:tcBorders>
          </w:tcPr>
          <w:p>
            <w:pPr>
              <w:spacing w:after="0"/>
            </w:pPr>
            <w:r>
              <w:t>Focus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shd w:fill="FFF9F6"/>
            <w:tcBorders>
              <w:top w:val="single" w:sz="4" w:color="DDCFC6"/>
              <w:start w:val="single" w:sz="4" w:color="DDCFC6"/>
              <w:bottom w:val="single" w:sz="4" w:color="DDCFC6"/>
              <w:end w:val="single" w:sz="4" w:color="DDCFC6"/>
            </w:tcBorders>
          </w:tcPr>
          <w:p>
            <w:pPr>
              <w:spacing w:after="0"/>
            </w:pPr>
            <w:r>
              <w:t>Are there qualified windows for a named life event in this year?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DCFC6"/>
              <w:start w:val="single" w:sz="4" w:color="DDCFC6"/>
              <w:bottom w:val="single" w:sz="4" w:color="DDCFC6"/>
              <w:end w:val="single" w:sz="4" w:color="DDCFC6"/>
            </w:tcBorders>
          </w:tcPr>
          <w:p>
            <w:pPr>
              <w:spacing w:after="0"/>
            </w:pPr>
            <w:r>
              <w:t>Activations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DCFC6"/>
              <w:start w:val="single" w:sz="4" w:color="DDCFC6"/>
              <w:bottom w:val="single" w:sz="4" w:color="DDCFC6"/>
              <w:end w:val="single" w:sz="4" w:color="DDCFC6"/>
            </w:tcBorders>
          </w:tcPr>
          <w:p>
            <w:pPr>
              <w:spacing w:after="0"/>
            </w:pPr>
            <w:r>
              <w:t>Map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DCFC6"/>
              <w:start w:val="single" w:sz="4" w:color="DDCFC6"/>
              <w:bottom w:val="single" w:sz="4" w:color="DDCFC6"/>
              <w:end w:val="single" w:sz="4" w:color="DDCFC6"/>
            </w:tcBorders>
          </w:tcPr>
          <w:p>
            <w:pPr>
              <w:spacing w:after="0"/>
            </w:pPr>
            <w:r>
              <w:t>Which houses are open across the selected period?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FF9F6"/>
            <w:tcBorders>
              <w:top w:val="single" w:sz="4" w:color="DDCFC6"/>
              <w:start w:val="single" w:sz="4" w:color="DDCFC6"/>
              <w:bottom w:val="single" w:sz="4" w:color="DDCFC6"/>
              <w:end w:val="single" w:sz="4" w:color="DDCFC6"/>
            </w:tcBorders>
          </w:tcPr>
          <w:p>
            <w:pPr>
              <w:spacing w:after="0"/>
            </w:pPr>
            <w:r>
              <w:t>Activations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FF9F6"/>
            <w:tcBorders>
              <w:top w:val="single" w:sz="4" w:color="DDCFC6"/>
              <w:start w:val="single" w:sz="4" w:color="DDCFC6"/>
              <w:bottom w:val="single" w:sz="4" w:color="DDCFC6"/>
              <w:end w:val="single" w:sz="4" w:color="DDCFC6"/>
            </w:tcBorders>
          </w:tcPr>
          <w:p>
            <w:pPr>
              <w:spacing w:after="0"/>
            </w:pPr>
            <w:r>
              <w:t>Double Transit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shd w:fill="FFF9F6"/>
            <w:tcBorders>
              <w:top w:val="single" w:sz="4" w:color="DDCFC6"/>
              <w:start w:val="single" w:sz="4" w:color="DDCFC6"/>
              <w:bottom w:val="single" w:sz="4" w:color="DDCFC6"/>
              <w:end w:val="single" w:sz="4" w:color="DDCFC6"/>
            </w:tcBorders>
          </w:tcPr>
          <w:p>
            <w:pPr>
              <w:spacing w:after="0"/>
            </w:pPr>
            <w:r>
              <w:t>When do Jupiter and Saturn simultaneously contact a natal house?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DCFC6"/>
              <w:start w:val="single" w:sz="4" w:color="DDCFC6"/>
              <w:bottom w:val="single" w:sz="4" w:color="DDCFC6"/>
              <w:end w:val="single" w:sz="4" w:color="DDCFC6"/>
            </w:tcBorders>
          </w:tcPr>
          <w:p>
            <w:pPr>
              <w:spacing w:after="0"/>
            </w:pPr>
            <w:r>
              <w:t>Evidence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DCFC6"/>
              <w:start w:val="single" w:sz="4" w:color="DDCFC6"/>
              <w:bottom w:val="single" w:sz="4" w:color="DDCFC6"/>
              <w:end w:val="single" w:sz="4" w:color="DDCFC6"/>
            </w:tcBorders>
          </w:tcPr>
          <w:p>
            <w:pPr>
              <w:spacing w:after="0"/>
            </w:pPr>
            <w:r>
              <w:t>Calculation trace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DCFC6"/>
              <w:start w:val="single" w:sz="4" w:color="DDCFC6"/>
              <w:bottom w:val="single" w:sz="4" w:color="DDCFC6"/>
              <w:end w:val="single" w:sz="4" w:color="DDCFC6"/>
            </w:tcBorders>
          </w:tcPr>
          <w:p>
            <w:pPr>
              <w:spacing w:after="0"/>
            </w:pPr>
            <w:r>
              <w:t>Why did the event engine qualify this window?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FF9F6"/>
            <w:tcBorders>
              <w:top w:val="single" w:sz="4" w:color="DDCFC6"/>
              <w:start w:val="single" w:sz="4" w:color="DDCFC6"/>
              <w:bottom w:val="single" w:sz="4" w:color="DDCFC6"/>
              <w:end w:val="single" w:sz="4" w:color="DDCFC6"/>
            </w:tcBorders>
          </w:tcPr>
          <w:p>
            <w:pPr>
              <w:spacing w:after="0"/>
            </w:pPr>
            <w:r>
              <w:t>Strength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FF9F6"/>
            <w:tcBorders>
              <w:top w:val="single" w:sz="4" w:color="DDCFC6"/>
              <w:start w:val="single" w:sz="4" w:color="DDCFC6"/>
              <w:bottom w:val="single" w:sz="4" w:color="DDCFC6"/>
              <w:end w:val="single" w:sz="4" w:color="DDCFC6"/>
            </w:tcBorders>
          </w:tcPr>
          <w:p>
            <w:pPr>
              <w:spacing w:after="0"/>
            </w:pPr>
            <w:r>
              <w:t>Shadbala &amp; dignity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shd w:fill="FFF9F6"/>
            <w:tcBorders>
              <w:top w:val="single" w:sz="4" w:color="DDCFC6"/>
              <w:start w:val="single" w:sz="4" w:color="DDCFC6"/>
              <w:bottom w:val="single" w:sz="4" w:color="DDCFC6"/>
              <w:end w:val="single" w:sz="4" w:color="DDCFC6"/>
            </w:tcBorders>
          </w:tcPr>
          <w:p>
            <w:pPr>
              <w:spacing w:after="0"/>
            </w:pPr>
            <w:r>
              <w:t>How capable is each planet of delivering its indications?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DCFC6"/>
              <w:start w:val="single" w:sz="4" w:color="DDCFC6"/>
              <w:bottom w:val="single" w:sz="4" w:color="DDCFC6"/>
              <w:end w:val="single" w:sz="4" w:color="DDCFC6"/>
            </w:tcBorders>
          </w:tcPr>
          <w:p>
            <w:pPr>
              <w:spacing w:after="0"/>
            </w:pPr>
            <w:r>
              <w:t>Strength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DCFC6"/>
              <w:start w:val="single" w:sz="4" w:color="DDCFC6"/>
              <w:bottom w:val="single" w:sz="4" w:color="DDCFC6"/>
              <w:end w:val="single" w:sz="4" w:color="DDCFC6"/>
            </w:tcBorders>
          </w:tcPr>
          <w:p>
            <w:pPr>
              <w:spacing w:after="0"/>
            </w:pPr>
            <w:r>
              <w:t>Ashtakavarga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DCFC6"/>
              <w:start w:val="single" w:sz="4" w:color="DDCFC6"/>
              <w:bottom w:val="single" w:sz="4" w:color="DDCFC6"/>
              <w:end w:val="single" w:sz="4" w:color="DDCFC6"/>
            </w:tcBorders>
          </w:tcPr>
          <w:p>
            <w:pPr>
              <w:spacing w:after="0"/>
            </w:pPr>
            <w:r>
              <w:t>How much bindu support exists by house, planet and transit frame?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FF9F6"/>
            <w:tcBorders>
              <w:top w:val="single" w:sz="4" w:color="DDCFC6"/>
              <w:start w:val="single" w:sz="4" w:color="DDCFC6"/>
              <w:bottom w:val="single" w:sz="4" w:color="DDCFC6"/>
              <w:end w:val="single" w:sz="4" w:color="DDCFC6"/>
            </w:tcBorders>
          </w:tcPr>
          <w:p>
            <w:pPr>
              <w:spacing w:after="0"/>
            </w:pPr>
            <w:r>
              <w:t>Jaimini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FF9F6"/>
            <w:tcBorders>
              <w:top w:val="single" w:sz="4" w:color="DDCFC6"/>
              <w:start w:val="single" w:sz="4" w:color="DDCFC6"/>
              <w:bottom w:val="single" w:sz="4" w:color="DDCFC6"/>
              <w:end w:val="single" w:sz="4" w:color="DDCFC6"/>
            </w:tcBorders>
          </w:tcPr>
          <w:p>
            <w:pPr>
              <w:spacing w:after="0"/>
            </w:pPr>
            <w:r>
              <w:t>Chara Karakas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shd w:fill="FFF9F6"/>
            <w:tcBorders>
              <w:top w:val="single" w:sz="4" w:color="DDCFC6"/>
              <w:start w:val="single" w:sz="4" w:color="DDCFC6"/>
              <w:bottom w:val="single" w:sz="4" w:color="DDCFC6"/>
              <w:end w:val="single" w:sz="4" w:color="DDCFC6"/>
            </w:tcBorders>
          </w:tcPr>
          <w:p>
            <w:pPr>
              <w:spacing w:after="0"/>
            </w:pPr>
            <w:r>
              <w:t>Which planets carry the seven movable significator roles?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DCFC6"/>
              <w:start w:val="single" w:sz="4" w:color="DDCFC6"/>
              <w:bottom w:val="single" w:sz="4" w:color="DDCFC6"/>
              <w:end w:val="single" w:sz="4" w:color="DDCFC6"/>
            </w:tcBorders>
          </w:tcPr>
          <w:p>
            <w:pPr>
              <w:spacing w:after="0"/>
            </w:pPr>
            <w:r>
              <w:t>Analysis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DCFC6"/>
              <w:start w:val="single" w:sz="4" w:color="DDCFC6"/>
              <w:bottom w:val="single" w:sz="4" w:color="DDCFC6"/>
              <w:end w:val="single" w:sz="4" w:color="DDCFC6"/>
            </w:tcBorders>
          </w:tcPr>
          <w:p>
            <w:pPr>
              <w:spacing w:after="0"/>
            </w:pPr>
            <w:r>
              <w:t>House/positions/yogas/friends/lords/aspects/meta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DCFC6"/>
              <w:start w:val="single" w:sz="4" w:color="DDCFC6"/>
              <w:bottom w:val="single" w:sz="4" w:color="DDCFC6"/>
              <w:end w:val="single" w:sz="4" w:color="DDCFC6"/>
            </w:tcBorders>
          </w:tcPr>
          <w:p>
            <w:pPr>
              <w:spacing w:after="0"/>
            </w:pPr>
            <w:r>
              <w:t>What supporting relationships and chart facts refine the reading?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66761"/>
        <w:sz w:val="16"/>
      </w:rPr>
      <w:t xml:space="preserve">ASTROROSHNI  • 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rPr>
        <w:b/>
        <w:color w:val="A5123B"/>
      </w:rPr>
      <w:t>PARASHARI DESK  /  FEATURE &amp; WORKFLOW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color w:val="30272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180"/>
      <w:outlineLvl w:val="0"/>
    </w:pPr>
    <w:rPr>
      <w:rFonts w:asciiTheme="majorHAnsi" w:eastAsiaTheme="majorEastAsia" w:hAnsiTheme="majorHAnsi" w:cstheme="majorBidi" w:ascii="Calibri" w:hAnsi="Calibri"/>
      <w:b/>
      <w:bCs/>
      <w:color w:val="A5123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30272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7F0D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7F0D2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/>
      <w:b w:val="0"/>
      <w:i/>
      <w:iCs/>
      <w:color w:val="766761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140"/>
    </w:pPr>
    <w:rPr>
      <w:rFonts w:ascii="Calibri" w:hAnsi="Calibri"/>
      <w:b/>
      <w:bCs/>
      <w:i/>
      <w:color w:val="766761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Parashari Desk Feature &amp; Workflow Guide</dc:title>
  <dc:subject>AstroRoshni Parashari Desk product guide</dc:subject>
  <dc:creator>AstroRoshni</dc:creator>
  <cp:keywords>Parashari, astrology, dasha, transit, activation, AstroRoshni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