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316D7" w:rsidRDefault="00000000">
      <w:pPr>
        <w:pStyle w:val="Title"/>
      </w:pPr>
      <w:r>
        <w:rPr>
          <w:color w:val="16354F"/>
        </w:rPr>
        <w:t>Project Walkthrough</w:t>
      </w:r>
    </w:p>
    <w:p w:rsidR="009316D7" w:rsidRDefault="00000000">
      <w:proofErr w:type="spellStart"/>
      <w:proofErr w:type="spellEnd"/>
      <w:r>
        <w:t>SPY options VaR — code, workflow, and every assumption made along the way.</w:t>
      </w:r>
    </w:p>
    <w:p w:rsidR="009316D7" w:rsidRDefault="00000000">
      <w:r>
        <w:t>Seven Python modules, two independently sourced datasets, two reference cases, 250 historical scenarios each. This document covers what was built and how it fits together — not why the project exists. The pipeline runs against a config file rather than a hardcoded case, so the same unchanged pricing and calibration code produces both results. A companion document, DATABENTO_EXTENSION.docx, covers the second dataset's sourcing and validation in full.</w:t>
      </w:r>
    </w:p>
    <w:p w:rsidR="009316D7" w:rsidRDefault="009316D7"/>
    <w:p w:rsidR="009316D7" w:rsidRDefault="00000000">
      <w:pPr>
        <w:pStyle w:val="Heading1"/>
      </w:pPr>
      <w:r>
        <w:rPr>
          <w:color w:val="16354F"/>
        </w:rPr>
        <w:t>1. The mental model</w:t>
      </w:r>
    </w:p>
    <w:p w:rsidR="009316D7" w:rsidRDefault="00000000">
      <w:r>
        <w:t>Six stages, each handing a concrete artifact to the next. The whole pipeline runs from a single command, and which reference case it runs is decided entirely by the config file it is handed. Nothing in the six stages below knows which dataset it is looking at.</w:t>
      </w:r>
    </w:p>
    <w:p w:rsidR="009316D7" w:rsidRDefault="00000000">
      <w:pPr>
        <w:jc w:val="center"/>
      </w:pPr>
      <w:r>
        <w:rPr>
          <w:noProof/>
        </w:rPr>
        <w:drawing>
          <wp:inline distT="0" distB="0" distL="0" distR="0">
            <wp:extent cx="5760720" cy="56843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flow.png"/>
                    <pic:cNvPicPr/>
                  </pic:nvPicPr>
                  <pic:blipFill>
                    <a:blip r:embed="rId6"/>
                    <a:stretch>
                      <a:fillRect/>
                    </a:stretch>
                  </pic:blipFill>
                  <pic:spPr>
                    <a:xfrm>
                      <a:off x="0" y="0"/>
                      <a:ext cx="5760720" cy="5684318"/>
                    </a:xfrm>
                    <a:prstGeom prst="rect">
                      <a:avLst/>
                    </a:prstGeom>
                  </pic:spPr>
                </pic:pic>
              </a:graphicData>
            </a:graphic>
          </wp:inline>
        </w:drawing>
      </w:r>
    </w:p>
    <w:p w:rsidR="009316D7" w:rsidRDefault="00000000">
      <w:pPr>
        <w:spacing w:after="200"/>
        <w:jc w:val="center"/>
      </w:pPr>
      <w:r>
        <w:rPr>
          <w:i/>
          <w:color w:val="666666"/>
          <w:sz w:val="17"/>
        </w:rPr>
        <w:t>pipeline_flow.png — the six stages, the module implementing each, and the artifact it produces</w:t>
      </w:r>
    </w:p>
    <w:p w:rsidR="009316D7" w:rsidRDefault="00000000">
      <w:pPr>
        <w:pStyle w:val="Heading2"/>
      </w:pPr>
      <w:r>
        <w:rPr>
          <w:color w:val="16354F"/>
        </w:rPr>
        <w:lastRenderedPageBreak/>
        <w:t>What each stage does mechanically</w:t>
      </w:r>
    </w:p>
    <w:tbl>
      <w:tblPr>
        <w:tblStyle w:val="LightGrid-Accent1"/>
        <w:tblW w:w="0" w:type="auto"/>
        <w:jc w:val="center"/>
        <w:tblLayout w:type="fixed"/>
        <w:tblLook w:val="04A0" w:firstRow="1" w:lastRow="0" w:firstColumn="1" w:lastColumn="0" w:noHBand="0" w:noVBand="1"/>
      </w:tblPr>
      <w:tblGrid>
        <w:gridCol w:w="1944"/>
        <w:gridCol w:w="5112"/>
        <w:gridCol w:w="230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r>
              <w:rPr>
                <w:sz w:val="17"/>
              </w:rPr>
              <w:t>Stage</w:t>
            </w:r>
          </w:p>
        </w:tc>
        <w:tc>
          <w:tcPr>
            <w:tcW w:w="511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Mechanically</w:t>
            </w:r>
          </w:p>
        </w:tc>
        <w:tc>
          <w:tcPr>
            <w:tcW w:w="230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Produces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Data</w:t>
            </w:r>
            <w:r>
              <w:rPr>
                <w:sz w:val="17"/>
              </w:rPr>
              <w:br/>
              <w:t>(data_loader.py)</w:t>
            </w:r>
          </w:p>
        </w:tc>
        <w:tc>
          <w:tcPr>
            <w:tcW w:w="51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Reads the OptionsDX parquet files, validates dates against a derived NYSE calendar, implies the forward from put-call parity, and builds the out-of-the-money volatility smile.</w:t>
            </w:r>
          </w:p>
        </w:tc>
        <w:tc>
          <w:tcPr>
            <w:tcW w:w="230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151-strike smile;</w:t>
            </w:r>
            <w:r>
              <w:rPr>
                <w:sz w:val="17"/>
              </w:rPr>
              <w:br/>
              <w:t xml:space="preserve">F = </w:t>
            </w:r>
            <w:r>
              <w:rPr>
                <w:b/>
                <w:sz w:val="17"/>
              </w:rPr>
              <w:t>$478.892</w:t>
            </w:r>
            <w:r>
              <w:rPr>
                <w:sz w:val="17"/>
              </w:rPr>
              <w:t>;</w:t>
            </w:r>
            <w:r>
              <w:rPr>
                <w:sz w:val="17"/>
              </w:rPr>
              <w:br/>
              <w:t>b = 5.5926%</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SABR</w:t>
            </w:r>
            <w:r>
              <w:rPr>
                <w:sz w:val="17"/>
              </w:rPr>
              <w:br/>
              <w:t>(sabr.py)</w:t>
            </w:r>
          </w:p>
        </w:tc>
        <w:tc>
          <w:tcPr>
            <w:tcW w:w="51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Least-squares fit of alpha, rho and nu to that smile using Hagan's expansion, with beta held at 1.0, over strikes within 15% of the forward.</w:t>
            </w:r>
          </w:p>
        </w:tc>
        <w:tc>
          <w:tcPr>
            <w:tcW w:w="230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alpha 0.109797</w:t>
            </w:r>
            <w:r>
              <w:rPr>
                <w:sz w:val="17"/>
              </w:rPr>
              <w:br/>
              <w:t>rho -0.524225</w:t>
            </w:r>
            <w:r>
              <w:rPr>
                <w:sz w:val="17"/>
              </w:rPr>
              <w:br/>
              <w:t>nu 2.132810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BAW</w:t>
            </w:r>
            <w:r>
              <w:rPr>
                <w:sz w:val="17"/>
              </w:rPr>
              <w:br/>
              <w:t>(baw.py)</w:t>
            </w:r>
          </w:p>
        </w:tc>
        <w:tc>
          <w:tcPr>
            <w:tcW w:w="51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Converts a volatility into an American option price. Also runs in reverse: inverting the pricer recovers the market's own implied volatilities.</w:t>
            </w:r>
          </w:p>
        </w:tc>
        <w:tc>
          <w:tcPr>
            <w:tcW w:w="230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 xml:space="preserve">base price </w:t>
            </w:r>
            <w:r>
              <w:rPr>
                <w:b/>
                <w:sz w:val="17"/>
              </w:rPr>
              <w:t>$6.639087</w:t>
            </w:r>
            <w:r>
              <w:rPr>
                <w:sz w:val="17"/>
              </w:rPr>
              <w:br/>
              <w:t>at vol 11.7554%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Historical sim</w:t>
            </w:r>
            <w:r>
              <w:rPr>
                <w:sz w:val="17"/>
              </w:rPr>
              <w:br/>
              <w:t>(historical_sim.py)</w:t>
            </w:r>
          </w:p>
        </w:tc>
        <w:tc>
          <w:tcPr>
            <w:tcW w:w="51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Takes the last 250 daily SPY returns and applies each one to today's spot, producing one alternative price for tomorrow per historical day.</w:t>
            </w:r>
          </w:p>
        </w:tc>
        <w:tc>
          <w:tcPr>
            <w:tcW w:w="230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250 scenarios,</w:t>
            </w:r>
            <w:r>
              <w:rPr>
                <w:sz w:val="17"/>
              </w:rPr>
              <w:br/>
              <w:t>$465.80 to $486.16</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Full revaluation</w:t>
            </w:r>
            <w:r>
              <w:rPr>
                <w:sz w:val="17"/>
              </w:rPr>
              <w:br/>
              <w:t>(main.py)</w:t>
            </w:r>
          </w:p>
        </w:tc>
        <w:tc>
          <w:tcPr>
            <w:tcW w:w="51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Loops over every scenario: shifts spot, recomputes the forward, asks SABR for a fresh volatility, reprices with BAW. No Greeks anywhere.</w:t>
            </w:r>
          </w:p>
        </w:tc>
        <w:tc>
          <w:tcPr>
            <w:tcW w:w="230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250 scenario P&amp;Ls,</w:t>
            </w:r>
            <w:r>
              <w:rPr>
                <w:sz w:val="17"/>
              </w:rPr>
              <w:br/>
              <w:t>worst -$2.7719</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VaR</w:t>
            </w:r>
            <w:r>
              <w:rPr>
                <w:sz w:val="17"/>
              </w:rPr>
              <w:br/>
              <w:t>(var.py)</w:t>
            </w:r>
          </w:p>
        </w:tc>
        <w:tc>
          <w:tcPr>
            <w:tcW w:w="51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Sorts the P&amp;Ls and interpolates linearly between the two order statistics straddling the 99% point.</w:t>
            </w:r>
          </w:p>
        </w:tc>
        <w:tc>
          <w:tcPr>
            <w:tcW w:w="230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 xml:space="preserve">99% VaR </w:t>
            </w:r>
            <w:r>
              <w:rPr>
                <w:b/>
                <w:sz w:val="17"/>
              </w:rPr>
              <w:t>$2.4488</w:t>
            </w:r>
            <w:r>
              <w:rPr>
                <w:sz w:val="17"/>
              </w:rPr>
              <w:br/>
              <w:t>ES $2.5805</w:t>
            </w:r>
          </w:p>
        </w:tc>
      </w:tr>
    </w:tbl>
    <w:p w:rsidR="009316D7" w:rsidRDefault="00000000">
      <w:pPr>
        <w:pStyle w:val="Heading2"/>
      </w:pPr>
      <w:r>
        <w:rPr>
          <w:color w:val="16354F"/>
        </w:rPr>
        <w:t>Three decisions that shape every number downstream</w:t>
      </w:r>
    </w:p>
    <w:p w:rsidR="009316D7" w:rsidRDefault="00000000">
      <w:r>
        <w:t xml:space="preserve">1.  Volatilities are </w:t>
      </w:r>
      <w:r>
        <w:rPr>
          <w:b/>
        </w:rPr>
        <w:t>re-implied, not taken from the vendor</w:t>
      </w:r>
      <w:r>
        <w:t>. The vendor's put and call implied vols are mutually inconsistent enough to reverse the local slope of the smile at the crossover, so every volatility used in this project was recovered by inverting the same BAW pricer against the same parity forward.</w:t>
      </w:r>
    </w:p>
    <w:p w:rsidR="009316D7" w:rsidRDefault="00000000">
      <w:r>
        <w:t xml:space="preserve">2.  The volatility surface is </w:t>
      </w:r>
      <w:r>
        <w:rPr>
          <w:b/>
        </w:rPr>
        <w:t>anchored to the forward and frozen</w:t>
      </w:r>
      <w:r>
        <w:t>. SABR parameters are held fixed and re-evaluated at each scenario's forward (sticky-moneyness). Scenario P&amp;Ls therefore carry spot risk and the smile's response to spot, but no independent volatility risk.</w:t>
      </w:r>
    </w:p>
    <w:p w:rsidR="009316D7" w:rsidRDefault="00000000">
      <w:r>
        <w:t xml:space="preserve">3.  Time to expiry is </w:t>
      </w:r>
      <w:r>
        <w:rPr>
          <w:b/>
        </w:rPr>
        <w:t>held fixed at 49 days</w:t>
      </w:r>
      <w:r>
        <w:t>. Theta is excluded, so the distribution is not shifted down by a constant that would inflate the VaR regardless of market direction.</w:t>
      </w:r>
    </w:p>
    <w:p>
      <w:pPr>
        <w:pStyle w:val="Heading1"/>
      </w:pPr>
      <w:r>
        <w:t>2. How to run it</w:t>
      </w:r>
    </w:p>
    <w:p>
      <w:r>
        <w:rPr>
          <w:b/>
        </w:rPr>
        <w:t xml:space="preserve">The runner is thin. </w:t>
      </w:r>
      <w:r>
        <w:rPr>
          <w:b w:val="0"/>
        </w:rPr>
        <w:t>main.py holds the phase functions and a loader; every assumption lives in a config file under configs/, one per reference case. Adding a third case means adding a file there — it never means editing main.py.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b/>
              </w:rPr>
              <w:t>Command</w:t>
            </w:r>
          </w:p>
        </w:tc>
        <w:tc>
          <w:tcPr>
            <w:tcW w:type="dxa" w:w="2412"/>
          </w:tcPr>
          <w:p>
            <w:r/>
            <w:r>
              <w:rPr>
                <w:b/>
              </w:rPr>
              <w:t>Case</w:t>
            </w:r>
          </w:p>
        </w:tc>
        <w:tc>
          <w:tcPr>
            <w:tcW w:type="dxa" w:w="2412"/>
          </w:tcPr>
          <w:p>
            <w:r/>
            <w:r>
              <w:rPr>
                <w:b/>
              </w:rPr>
              <w:t>Data</w:t>
            </w:r>
          </w:p>
        </w:tc>
        <w:tc>
          <w:tcPr>
            <w:tcW w:type="dxa" w:w="2412"/>
          </w:tcPr>
          <w:p>
            <w:r/>
            <w:r>
              <w:rPr>
                <w:b/>
              </w:rPr>
              <w:t>Writes to</w:t>
            </w:r>
          </w:p>
        </w:tc>
      </w:tr>
      <w:tr>
        <w:tc>
          <w:tcPr>
            <w:tcW w:type="dxa" w:w="2412"/>
          </w:tcPr>
          <w:p>
            <w:r/>
            <w:r>
              <w:t>python3 main.py</w:t>
            </w:r>
          </w:p>
        </w:tc>
        <w:tc>
          <w:tcPr>
            <w:tcW w:type="dxa" w:w="2412"/>
          </w:tcPr>
          <w:p>
            <w:r/>
            <w:r>
              <w:t>2023-12-29</w:t>
            </w:r>
          </w:p>
        </w:tc>
        <w:tc>
          <w:tcPr>
            <w:tcW w:type="dxa" w:w="2412"/>
          </w:tcPr>
          <w:p>
            <w:r/>
            <w:r>
              <w:t>OptionsDX 2010–2023</w:t>
            </w:r>
          </w:p>
        </w:tc>
        <w:tc>
          <w:tcPr>
            <w:tcW w:type="dxa" w:w="2412"/>
          </w:tcPr>
          <w:p>
            <w:r/>
            <w:r>
              <w:t>outputs/2023-12-29/</w:t>
            </w:r>
          </w:p>
        </w:tc>
      </w:tr>
      <w:tr>
        <w:tc>
          <w:tcPr>
            <w:tcW w:type="dxa" w:w="2412"/>
          </w:tcPr>
          <w:p>
            <w:r/>
            <w:r>
              <w:t>python3 main.py config_2026_06_01</w:t>
            </w:r>
          </w:p>
        </w:tc>
        <w:tc>
          <w:tcPr>
            <w:tcW w:type="dxa" w:w="2412"/>
          </w:tcPr>
          <w:p>
            <w:r/>
            <w:r>
              <w:t>2026-06-01</w:t>
            </w:r>
          </w:p>
        </w:tc>
        <w:tc>
          <w:tcPr>
            <w:tcW w:type="dxa" w:w="2412"/>
          </w:tcPr>
          <w:p>
            <w:r/>
            <w:r>
              <w:t>Databento 2025–2026</w:t>
            </w:r>
          </w:p>
        </w:tc>
        <w:tc>
          <w:tcPr>
            <w:tcW w:type="dxa" w:w="2412"/>
          </w:tcPr>
          <w:p>
            <w:r/>
            <w:r>
              <w:t>outputs/2026-06-01/</w:t>
            </w:r>
          </w:p>
        </w:tc>
      </w:tr>
    </w:tbl>
    <w:p>
      <w:r>
        <w:rPr>
          <w:b w:val="0"/>
        </w:rPr>
        <w:t xml:space="preserve">Each case writes to its own directory, so the two runs can never overwrite one another. The default is the original case, so </w:t>
      </w:r>
      <w:r>
        <w:rPr>
          <w:b/>
        </w:rPr>
        <w:t>python3 main.py</w:t>
      </w:r>
      <w:r>
        <w:rPr>
          <w:b w:val="0"/>
        </w:rPr>
        <w:t xml:space="preserve"> reproduces the run recorded in PROJECT_LOG.md exactly as it did before configuration was moved out of the runner — verified afterwards to reproduce all 17 of its output tables byte for byte.</w:t>
      </w:r>
    </w:p>
    <w:p>
      <w:r>
        <w:rPr>
          <w:b/>
        </w:rPr>
        <w:t xml:space="preserve">What differs between the two configs. </w:t>
      </w:r>
      <w:r>
        <w:rPr>
          <w:b w:val="0"/>
        </w:rPr>
        <w:t>The dataset and the reference date, the risk-free rate pin, the reference expiry and strike, the lookback and stress windows, and the output paths. What deliberately does NOT differ: SABR beta, the calibration band, the quote quality filters and the confidence level — changing the model between cases would confound a data comparison with a method comparison.</w:t>
      </w:r>
    </w:p>
    <w:p w:rsidR="009316D7" w:rsidRDefault="00000000">
      <w:pPr>
        <w:pStyle w:val="Heading1"/>
      </w:pPr>
      <w:r>
        <w:t>3. File-by-file breakdown</w:t>
      </w:r>
    </w:p>
    <w:p w:rsidR="009316D7" w:rsidRDefault="00000000">
      <w:r>
        <w:t>Seven modules, flat, no packages. Helper functions prefixed with an underscore are omitted below; so are the per-module standalone blocks, which are noted in each subheading instead.</w:t>
      </w:r>
    </w:p>
    <w:p w:rsidR="009316D7" w:rsidRDefault="00000000">
      <w:pPr>
        <w:pStyle w:val="Heading2"/>
      </w:pPr>
      <w:r>
        <w:rPr>
          <w:color w:val="16354F"/>
        </w:rPr>
        <w:t>data_loader.py</w:t>
      </w:r>
    </w:p>
    <w:p w:rsidR="009316D7" w:rsidRDefault="00000000">
      <w:pPr>
        <w:spacing w:after="80"/>
      </w:pPr>
      <w:r>
        <w:rPr>
          <w:i/>
          <w:color w:val="666666"/>
          <w:sz w:val="19"/>
        </w:rPr>
        <w:t>Loading, validation, and construction of the market state.</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load_spy_price_history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Builds the daily SPY close series from UNDERLYING_LAST in the option files; caches to CSV and validates the cache covers the request.</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run_phase_0, run_phase_4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load_options_chain</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Loads the full option chain snapshot for one quote date, all expiries; caches to CSV.</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select_expiry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Filters a snapshot down to a single expiry.</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year_fraction_to_expiry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Time to expiry in years, ACT/365.</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imply_forward_from_parity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Infers the forward from put-call parity across liquid near-the-money strikes, then derives cost of carry and dividend yield from it.</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build_otm_smile</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Constructs the volatility smile from out-of-the-money quotes only, split at the forward, filtering crossed and implausible quotes.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nyse_trading_days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Derives the NYSE calendar (federal holidays, minus Columbus and Veterans Day, plus Good Friday).</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validate_price_history, run_phase_4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lastRenderedPageBreak/>
              <w:t>validate_price_history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Checks for non-positive prices, duplicates, missing trading days and phantom rows on market holidays.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validate_options_chain</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Checks strikes, expiry ordering, single quote time, implied vol range and crossed quotes.</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smile_local_roughness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RMS strike-to-strike jitter in the quoted vols — the noise floor a model fit is judged against.</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run_phase_1, run_phase_3</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put_call_crossover_step</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Measures the discontinuity where the put wing hands over to the call wing; returns a robust adjacent gap and a fragile extrapolated one.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run_phase_1, run_phase_3</w:t>
            </w:r>
          </w:p>
        </w:tc>
      </w:tr>
    </w:tbl>
    <w:p w:rsidR="009316D7" w:rsidRDefault="009316D7">
      <w:pPr>
        <w:spacing w:after="80"/>
      </w:pPr>
    </w:p>
    <w:p w:rsidR="009316D7" w:rsidRDefault="00000000">
      <w:pPr>
        <w:pStyle w:val="Heading2"/>
      </w:pPr>
      <w:r>
        <w:rPr>
          <w:color w:val="16354F"/>
        </w:rPr>
        <w:t>sabr.py</w:t>
      </w:r>
    </w:p>
    <w:p w:rsidR="009316D7" w:rsidRDefault="00000000">
      <w:pPr>
        <w:spacing w:after="80"/>
      </w:pPr>
      <w:r>
        <w:rPr>
          <w:i/>
          <w:color w:val="666666"/>
          <w:sz w:val="19"/>
        </w:rPr>
        <w:t>Hagan et al. (2002) expansion and calibration. Standalone: python3 sabr.py</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sabr_implied_vol</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The implied volatility expansion for one strike, with an explicit branch to the closed-form limit at the money.</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sabr_vol_curve, price_option_with_sabr</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sabr_vol_curve</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Evaluates the expansion across a list of strikes by plain loop.</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calibrate_sabr, plot_sabr_fit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calibrate_sabr</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Least-squares fit of alpha, rho, nu from 12 starting points, with bounds that scale correctly with beta.</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run_phase_1, run_phase_3</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describe_calibration</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Prints the parameters with a plain-English reading of each and the fit quality.</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run_phase_1, run_phase_3</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check_atm_branch_continuity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Confirms the at-the-money branch joins the general formula, after subtracting the genuine smile slope.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run_phase_1</w:t>
            </w:r>
          </w:p>
        </w:tc>
      </w:tr>
    </w:tbl>
    <w:p w:rsidR="009316D7" w:rsidRDefault="009316D7">
      <w:pPr>
        <w:spacing w:after="80"/>
      </w:pPr>
    </w:p>
    <w:p w:rsidR="009316D7" w:rsidRDefault="00000000">
      <w:pPr>
        <w:pStyle w:val="Heading2"/>
      </w:pPr>
      <w:r>
        <w:rPr>
          <w:color w:val="16354F"/>
        </w:rPr>
        <w:t>baw.py</w:t>
      </w:r>
    </w:p>
    <w:p w:rsidR="009316D7" w:rsidRDefault="00000000">
      <w:pPr>
        <w:spacing w:after="80"/>
      </w:pPr>
      <w:r>
        <w:rPr>
          <w:i/>
          <w:color w:val="666666"/>
          <w:sz w:val="19"/>
        </w:rPr>
        <w:t>American pricing, inversion, and the validation suite. Standalone: python3 baw.py (~30s)</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black_scholes_price</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Generalised Black-Scholes-Merton with cost of carry, so it doubles as Black-76 at b = 0.</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baw_price, solve_critical_price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baw_price</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quadratic approximation: European price plus early-exercise premium, or intrinsic value past the exercise boundary.</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price_option_with_sabr, implied_volatility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solve_critical_price</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Newton-Raphson for the exercise boundary from the BAW seed, with iterates clamped into the economically valid region.</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baw_price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implied_volatility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Inverts baw_price by Brent's method; returns NaN rather than a plausible number where no volatility is recoverable.</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reimply_smile_volatilities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baw_vega</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Finite-difference vega. Diagnostic only — never used to price.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run_phase_3</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binomial_american_price</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Cox-Ross-Rubinstein lattice. Validation reference only; never called by the pricing pipeline.</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validation suite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10 validation checks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check_put_call_parity, check_american_call_equals_european_when_no_dividend, check_american_bounds, check_against_binomial, check_spy_regime_accuracy, check_pnl_error_propagation, check_monotonicity, check_critical_prices, check_spy_reference_case, check_implied_volatility_round_trip.</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python3 baw.py</w:t>
            </w:r>
          </w:p>
        </w:tc>
      </w:tr>
    </w:tbl>
    <w:p w:rsidR="009316D7" w:rsidRDefault="009316D7">
      <w:pPr>
        <w:spacing w:after="80"/>
      </w:pPr>
    </w:p>
    <w:p w:rsidR="009316D7" w:rsidRDefault="00000000">
      <w:pPr>
        <w:pStyle w:val="Heading2"/>
      </w:pPr>
      <w:r>
        <w:rPr>
          <w:color w:val="16354F"/>
        </w:rPr>
        <w:t>historical_sim.py</w:t>
      </w:r>
    </w:p>
    <w:p w:rsidR="009316D7" w:rsidRDefault="00000000">
      <w:pPr>
        <w:spacing w:after="80"/>
      </w:pPr>
      <w:r>
        <w:rPr>
          <w:i/>
          <w:color w:val="666666"/>
          <w:sz w:val="19"/>
        </w:rPr>
        <w:t>Scenario generation. Standalone: python3 historical_sim.py</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lastRenderedPageBreak/>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compute_daily_returns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Simple daily returns from the close series.</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run_phase_4, run_phase_5</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generate_scenarios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Applies each of the last N historical returns to today's spot, carrying the source date through.</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run_phase_4, run_phase_5</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summarise_returns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Mean, volatility, skewness, excess kurtosis, extremes and their dates.</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largest_moves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N largest up and down moves, for checking against real market episodes.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run_phase_4</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compare_tails_against_normal</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Counts observed exceedances at 2/3/4 sigma against a fitted normal.</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rolling_window_statistics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same window statistics as of several past reference dates, showing how much the answer depends on the window.</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run_phase_4</w:t>
            </w:r>
          </w:p>
        </w:tc>
      </w:tr>
    </w:tbl>
    <w:p w:rsidR="009316D7" w:rsidRDefault="009316D7">
      <w:pPr>
        <w:spacing w:after="80"/>
      </w:pPr>
    </w:p>
    <w:p w:rsidR="009316D7" w:rsidRDefault="00000000">
      <w:pPr>
        <w:pStyle w:val="Heading2"/>
      </w:pPr>
      <w:r>
        <w:rPr>
          <w:color w:val="16354F"/>
        </w:rPr>
        <w:t>var.py</w:t>
      </w:r>
    </w:p>
    <w:p w:rsidR="009316D7" w:rsidRDefault="00000000">
      <w:pPr>
        <w:spacing w:after="80"/>
      </w:pPr>
      <w:r>
        <w:rPr>
          <w:i/>
          <w:color w:val="666666"/>
          <w:sz w:val="19"/>
        </w:rPr>
        <w:t>VaR and expected shortfall. Standalone: python3 var.py</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compute_var</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Sorts the P&amp;Ls and interpolates explicitly between the two order statistics straddling the threshold; returns the full index arithmetic.</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run_phase_6</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cross_check_against_numpy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Recomputes the same quantile with numpy.percentile as an independent check — never as the answer.</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run_phase_6</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compare_rank_conventions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Recomputes the VaR under three rank definitions to bound the ambiguity in the filing's wording.</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run_phase_6</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describe_var</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Prints the result with the bracketing scenarios, their dates and the interpolation weight, so it can be rebuilt by hand.</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run_phase_6</w:t>
            </w:r>
          </w:p>
        </w:tc>
      </w:tr>
    </w:tbl>
    <w:p w:rsidR="009316D7" w:rsidRDefault="009316D7">
      <w:pPr>
        <w:spacing w:after="80"/>
      </w:pPr>
    </w:p>
    <w:p w:rsidR="009316D7" w:rsidRDefault="00000000">
      <w:pPr>
        <w:pStyle w:val="Heading2"/>
      </w:pPr>
      <w:r>
        <w:rPr>
          <w:color w:val="16354F"/>
        </w:rPr>
        <w:t>plots.py</w:t>
      </w:r>
    </w:p>
    <w:p w:rsidR="009316D7" w:rsidRDefault="00000000">
      <w:pPr>
        <w:spacing w:after="80"/>
      </w:pPr>
      <w:r>
        <w:rPr>
          <w:i/>
          <w:color w:val="666666"/>
          <w:sz w:val="19"/>
        </w:rPr>
        <w:t>One function per figure, all writing to outputs/figures/ at 150 DPI.</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plot_raw_vol_smile</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The raw market smile, OTM quotes only.</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plot_sabr_fit</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Market vols against the fitted curve, with residuals beneath.</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run_phase_1, run_phase_3</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plot_reimplied_vs_vendor_vols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Our volatilities against the vendor's, and their difference.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run_phase_3</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plot_baw_vs_market_prices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Theoretical prices against market, with the bid-ask band and the error in half-spreads.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run_phase_3</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plot_spy_price_history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The price path with the lookback window shaded.</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plot_daily_returns_histogram</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Return distribution against a fitted normal.</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run_phase_4</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plot_pnl_distribution</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Scenario P&amp;Ls with the VaR threshold marked.</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run_phase_8</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plot_pnl_timeseries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Scenario P&amp;L against the date that produced it.</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run_phase_8</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plot_summary_table</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The headline numbers rendered as a table image.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run_phase_8</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escape_dollars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Escapes currency so matplotlib does not parse it as LaTeX maths.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plotting functions</w:t>
            </w:r>
          </w:p>
        </w:tc>
      </w:tr>
    </w:tbl>
    <w:p w:rsidR="009316D7" w:rsidRDefault="009316D7">
      <w:pPr>
        <w:spacing w:after="80"/>
      </w:pPr>
    </w:p>
    <w:p w:rsidR="009316D7" w:rsidRDefault="00000000">
      <w:pPr>
        <w:pStyle w:val="Heading2"/>
      </w:pPr>
      <w:r>
        <w:rPr>
          <w:color w:val="16354F"/>
        </w:rPr>
        <w:t>main.py</w:t>
      </w:r>
    </w:p>
    <w:p>
      <w:r>
        <w:rPr>
          <w:b w:val="0"/>
        </w:rPr>
        <w:t xml:space="preserve">Since the second reference case was added, main.py no longer defines CONFIG. It loads one from </w:t>
      </w:r>
      <w:r>
        <w:rPr>
          <w:b/>
        </w:rPr>
        <w:t>configs/</w:t>
      </w:r>
      <w:r>
        <w:rPr>
          <w:b w:val="0"/>
        </w:rPr>
        <w:t xml:space="preserve"> and hands it to the same phase functions, which always took config as a parameter. Every case-specific label and sentence the phases print is now derived from that config too — ten were literals of the original case, and one of those wrote the wrong year into var_summary.csv.</w:t>
      </w:r>
    </w:p>
    <w:p w:rsidR="009316D7" w:rsidRDefault="00000000">
      <w:pPr>
        <w:spacing w:after="80"/>
      </w:pPr>
      <w:r>
        <w:rPr>
          <w:i/>
          <w:color w:val="666666"/>
          <w:sz w:val="19"/>
        </w:rPr>
        <w:t>Configuration and the pipeline. Entry point: python3 main.py</w:t>
      </w:r>
    </w:p>
    <w:tbl>
      <w:tblPr>
        <w:tblStyle w:val="LightGrid-Accent1"/>
        <w:tblW w:w="0" w:type="auto"/>
        <w:jc w:val="center"/>
        <w:tblLayout w:type="fixed"/>
        <w:tblLook w:val="04A0" w:firstRow="1" w:lastRow="0" w:firstColumn="1" w:lastColumn="0" w:noHBand="0" w:noVBand="1"/>
      </w:tblPr>
      <w:tblGrid>
        <w:gridCol w:w="2232"/>
        <w:gridCol w:w="5184"/>
        <w:gridCol w:w="19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lastRenderedPageBreak/>
              <w:t>Function</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What it does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Called by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CONFIG</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Every assumption in one dict: paths, reference date and expiry, lookback, risk-free rate, quote filters, the position, SABR settings, confidence level. No magic numbers elsewhere.</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all phases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price_option_with_sabr</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junction. SABR supplies a volatility at the forward; BAW turns it into a price from spot. Forward and spot are separate arguments so neither is inferred.</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run_phase_3, revalue_across_scenarios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reimply_smile_volatilities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Replaces the vendor's implied vols with ones inverted from OTM mid prices; drops strikes that cannot be inverted.</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run_phase_3</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revalue_across_scenarios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The full revaluation loop — fresh SABR vol and fresh BAW price for every scenario.</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run_phase_5</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taylor_approximation_counterfactual</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Computes the delta/gamma shortcut the filing forbids, for demonstration only.</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run_phase_5</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build_summary_rows</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Assembles the headline results for the summary table image.</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run_phase_8</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run_phase_0/1/3/4/5/6/8</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One runner per phase, each printing a labelled section and writing its tables and figures.</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main</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main</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Runs every phase in order and prints the section headers.</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python3 main.py</w:t>
            </w:r>
          </w:p>
        </w:tc>
      </w:tr>
    </w:tbl>
    <w:p w:rsidR="009316D7" w:rsidRDefault="009316D7">
      <w:pPr>
        <w:spacing w:after="80"/>
      </w:pPr>
    </w:p>
    <w:p>
      <w:pPr>
        <w:pStyle w:val="Heading2"/>
      </w:pPr>
      <w:r>
        <w:t>configs/</w:t>
      </w:r>
    </w:p>
    <w:p>
      <w:r>
        <w:t>Plain Python files rather than YAML or JSON, because this project states the reasoning beside every assumption and JSON cannot hold a comment. They are loaded by file path, so the folder needs no __init__.py.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File</w:t>
            </w:r>
          </w:p>
        </w:tc>
        <w:tc>
          <w:tcPr>
            <w:tcW w:type="dxa" w:w="3216"/>
          </w:tcPr>
          <w:p>
            <w:r/>
            <w:r>
              <w:rPr>
                <w:b/>
              </w:rPr>
              <w:t>Case</w:t>
            </w:r>
          </w:p>
        </w:tc>
        <w:tc>
          <w:tcPr>
            <w:tcW w:type="dxa" w:w="3216"/>
          </w:tcPr>
          <w:p>
            <w:r/>
            <w:r>
              <w:rPr>
                <w:b/>
              </w:rPr>
              <w:t>Notable values</w:t>
            </w:r>
          </w:p>
        </w:tc>
      </w:tr>
      <w:tr>
        <w:tc>
          <w:tcPr>
            <w:tcW w:type="dxa" w:w="3216"/>
          </w:tcPr>
          <w:p>
            <w:r/>
            <w:r>
              <w:t>config_2023_12_29.py</w:t>
            </w:r>
          </w:p>
        </w:tc>
        <w:tc>
          <w:tcPr>
            <w:tcW w:type="dxa" w:w="3216"/>
          </w:tcPr>
          <w:p>
            <w:r/>
            <w:r>
              <w:t>Original, OptionsDX</w:t>
            </w:r>
          </w:p>
        </w:tc>
        <w:tc>
          <w:tcPr>
            <w:tcW w:type="dxa" w:w="3216"/>
          </w:tcPr>
          <w:p>
            <w:r/>
            <w:r>
              <w:t>r = 5.40% (FRED DGS3MO); expiry 2024-02-16 (49d); $475 put; lookback 250d ending 2023-12-29; stress window 2020</w:t>
            </w:r>
          </w:p>
        </w:tc>
      </w:tr>
      <w:tr>
        <w:tc>
          <w:tcPr>
            <w:tcW w:type="dxa" w:w="3216"/>
          </w:tcPr>
          <w:p>
            <w:r/>
            <w:r>
              <w:t>config_2026_06_01.py</w:t>
            </w:r>
          </w:p>
        </w:tc>
        <w:tc>
          <w:tcPr>
            <w:tcW w:type="dxa" w:w="3216"/>
          </w:tcPr>
          <w:p>
            <w:r/>
            <w:r>
              <w:t>Databento</w:t>
            </w:r>
          </w:p>
        </w:tc>
        <w:tc>
          <w:tcPr>
            <w:tcW w:type="dxa" w:w="3216"/>
          </w:tcPr>
          <w:p>
            <w:r/>
            <w:r>
              <w:t>r = 3.66% (same series); expiry 2026-07-17 (46d); $759 put; lookback 250d ending 2026-06-01; stress window ending 2026-01-02</w:t>
            </w:r>
          </w:p>
        </w:tc>
      </w:tr>
    </w:tbl>
    <w:p>
      <w:pPr>
        <w:pStyle w:val="Heading2"/>
      </w:pPr>
      <w:r>
        <w:t>databento_pullers/</w:t>
      </w:r>
    </w:p>
    <w:p>
      <w:r>
        <w:t>Everything that sources and prepares the second dataset. None of it is imported by the pipeline — it produces the parquet files the pipeline reads, then steps out of the way. Covered in full in DATABENTO_EXTENSION.docx.</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t>databento_cost_check.py, _full.py, _2025.py</w:t>
            </w:r>
          </w:p>
        </w:tc>
        <w:tc>
          <w:tcPr>
            <w:tcW w:type="dxa" w:w="4824"/>
          </w:tcPr>
          <w:p>
            <w:r/>
            <w:r>
              <w:t>metadata.get_cost probes — free — used to price a pull before committing to it</w:t>
            </w:r>
          </w:p>
        </w:tc>
      </w:tr>
      <w:tr>
        <w:tc>
          <w:tcPr>
            <w:tcW w:type="dxa" w:w="4824"/>
          </w:tcPr>
          <w:p>
            <w:r/>
            <w:r>
              <w:t>databento_pull_2025_2026.py</w:t>
            </w:r>
          </w:p>
        </w:tc>
        <w:tc>
          <w:tcPr>
            <w:tcW w:type="dxa" w:w="4824"/>
          </w:tcPr>
          <w:p>
            <w:r/>
            <w:r>
              <w:t>The pull: NYSE calendar, DST-aware pre-close windows, early closes, one-off closures, batch submission with backoff, download, verification</w:t>
            </w:r>
          </w:p>
        </w:tc>
      </w:tr>
      <w:tr>
        <w:tc>
          <w:tcPr>
            <w:tcW w:type="dxa" w:w="4824"/>
          </w:tcPr>
          <w:p>
            <w:r/>
            <w:r>
              <w:t>databento_validation_20231229.py</w:t>
            </w:r>
          </w:p>
        </w:tc>
        <w:tc>
          <w:tcPr>
            <w:tcW w:type="dxa" w:w="4824"/>
          </w:tcPr>
          <w:p>
            <w:r/>
            <w:r>
              <w:t>The cross-vendor check of the original reference date against the project's own unchanged code</w:t>
            </w:r>
          </w:p>
        </w:tc>
      </w:tr>
      <w:tr>
        <w:tc>
          <w:tcPr>
            <w:tcW w:type="dxa" w:w="4824"/>
          </w:tcPr>
          <w:p>
            <w:r/>
            <w:r>
              <w:t>databento_sanity_check.py</w:t>
            </w:r>
          </w:p>
        </w:tc>
        <w:tc>
          <w:tcPr>
            <w:tcW w:type="dxa" w:w="4824"/>
          </w:tcPr>
          <w:p>
            <w:r/>
            <w:r>
              <w:t>Coverage, content, window and quality checks across all 353 sessions and 11,036,871 rows</w:t>
            </w:r>
          </w:p>
        </w:tc>
      </w:tr>
      <w:tr>
        <w:tc>
          <w:tcPr>
            <w:tcW w:type="dxa" w:w="4824"/>
          </w:tcPr>
          <w:p>
            <w:r/>
            <w:r>
              <w:t>databento_reshape.py</w:t>
            </w:r>
          </w:p>
        </w:tc>
        <w:tc>
          <w:tcPr>
            <w:tcW w:type="dxa" w:w="4824"/>
          </w:tcPr>
          <w:p>
            <w:r/>
            <w:r>
              <w:t>Join quotes to definitions, collapse to one EOD row per contract, reshape into the layout data_loader already reads</w:t>
            </w:r>
          </w:p>
        </w:tc>
      </w:tr>
    </w:tbl>
    <w:p w:rsidR="009316D7" w:rsidRDefault="00000000">
      <w:pPr>
        <w:pStyle w:val="Heading2"/>
      </w:pPr>
      <w:r>
        <w:rPr>
          <w:color w:val="16354F"/>
        </w:rPr>
        <w:t>How the modules depend on each other</w:t>
      </w:r>
    </w:p>
    <w:tbl>
      <w:tblPr>
        <w:tblStyle w:val="LightGrid-Accent1"/>
        <w:tblW w:w="0" w:type="auto"/>
        <w:jc w:val="center"/>
        <w:tblLayout w:type="fixed"/>
        <w:tblLook w:val="04A0" w:firstRow="1" w:lastRow="0" w:firstColumn="1" w:lastColumn="0" w:noHBand="0" w:noVBand="1"/>
      </w:tblPr>
      <w:tblGrid>
        <w:gridCol w:w="1944"/>
        <w:gridCol w:w="2232"/>
        <w:gridCol w:w="518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r>
              <w:rPr>
                <w:sz w:val="17"/>
              </w:rPr>
              <w:t>Module</w:t>
            </w:r>
          </w:p>
        </w:tc>
        <w:tc>
          <w:tcPr>
            <w:tcW w:w="223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Imports</w:t>
            </w:r>
          </w:p>
        </w:tc>
        <w:tc>
          <w:tcPr>
            <w:tcW w:w="51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Note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data_loader.py</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numpy, pandas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No project dependencies.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sabr.py</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numpy, scipy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Imports plots only inside its standalone block.</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baw.py</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numpy, scipy</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No SABR dependency</w:t>
            </w:r>
            <w:r>
              <w:rPr>
                <w:sz w:val="17"/>
              </w:rPr>
              <w:t xml:space="preserve"> — volatility is a plain input, so the pricer stays testable in isolation.</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historical_sim.py</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numpy, pandas, scipy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No option pricing at all.</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var.py</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numpy, pandas</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Takes P&amp;Ls as an array; knows nothing about options.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plots.py</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matplotlib, numpy</w:t>
            </w:r>
          </w:p>
        </w:tc>
        <w:tc>
          <w:tcPr>
            <w:tcW w:w="51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Imports sabr lazily inside one function to keep the import graph acyclic.</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main.py</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all of the above</w:t>
            </w:r>
          </w:p>
        </w:tc>
        <w:tc>
          <w:tcPr>
            <w:tcW w:w="51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The only module that knows the pipeline order.</w:t>
            </w:r>
          </w:p>
        </w:tc>
      </w:tr>
      <w:tr>
        <w:tc>
          <w:tcPr>
            <w:tcW w:type="dxa" w:w="1944"/>
          </w:tcPr>
          <w:p>
            <w:r/>
            <w:r>
              <w:t>configs/*.py</w:t>
            </w:r>
          </w:p>
        </w:tc>
        <w:tc>
          <w:tcPr>
            <w:tcW w:type="dxa" w:w="2232"/>
          </w:tcPr>
          <w:p>
            <w:r/>
            <w:r>
              <w:t>os only</w:t>
            </w:r>
          </w:p>
        </w:tc>
        <w:tc>
          <w:tcPr>
            <w:tcW w:type="dxa" w:w="5184"/>
          </w:tcPr>
          <w:p>
            <w:r/>
            <w:r>
              <w:t>Data, not logic. Loaded by path from main.py</w:t>
            </w:r>
          </w:p>
        </w:tc>
      </w:tr>
      <w:tr>
        <w:tc>
          <w:tcPr>
            <w:tcW w:type="dxa" w:w="1944"/>
          </w:tcPr>
          <w:p>
            <w:r/>
            <w:r>
              <w:t>databento_pullers/*</w:t>
            </w:r>
          </w:p>
        </w:tc>
        <w:tc>
          <w:tcPr>
            <w:tcW w:type="dxa" w:w="2232"/>
          </w:tcPr>
          <w:p>
            <w:r/>
            <w:r>
              <w:t>data_loader, baw, databento</w:t>
            </w:r>
          </w:p>
        </w:tc>
        <w:tc>
          <w:tcPr>
            <w:tcW w:type="dxa" w:w="5184"/>
          </w:tcPr>
          <w:p>
            <w:r/>
            <w:r>
              <w:t>Reads the pipeline's own code to validate against it; the pipeline never imports these</w:t>
            </w:r>
          </w:p>
        </w:tc>
      </w:tr>
    </w:tbl>
    <w:p w:rsidR="009316D7" w:rsidRDefault="00000000">
      <w:r>
        <w:br w:type="page"/>
      </w:r>
    </w:p>
    <w:p w:rsidR="009316D7" w:rsidRDefault="00000000">
      <w:pPr>
        <w:pStyle w:val="Heading1"/>
      </w:pPr>
      <w:r>
        <w:t>4. Stage-by-stage walkthrough</w:t>
      </w:r>
    </w:p>
    <w:p w:rsidR="009316D7" w:rsidRDefault="00000000">
      <w:r>
        <w:rPr>
          <w:i/>
          <w:color w:val="666666"/>
          <w:sz w:val="19"/>
        </w:rPr>
        <w:t>Execution order, as main.py runs it. Every number below is transcribed from PROJECT_LOG.md.</w:t>
      </w:r>
    </w:p>
    <w:p w:rsidR="009316D7" w:rsidRDefault="00000000">
      <w:pPr>
        <w:pStyle w:val="Heading2"/>
      </w:pPr>
      <w:r>
        <w:t>4.1  Data loading and validation</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14 OptionsDX parquet files (2010-2023) plus the CONFIG block.</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 validated price series, an option chain snapshot, the forward, and a filtered volatility smile.</w:t>
            </w:r>
          </w:p>
        </w:tc>
      </w:tr>
    </w:tbl>
    <w:p w:rsidR="009316D7" w:rsidRDefault="009316D7">
      <w:pPr>
        <w:spacing w:after="40"/>
      </w:pPr>
    </w:p>
    <w:p w:rsidR="009316D7" w:rsidRDefault="00000000">
      <w:r>
        <w:t>The price series comes from UNDERLYING_LAST inside the option files rather than a separate equity feed, so spot stays synchronous with the quotes it is paired against. 506 trading days load, 2022-01-03 to 2023-12-29. The chain snapshot for 2023-12-29 is 4,143 rows across 34 expiries; the reference expiry carries 156 strikes from $210 to $575, reduced to a 151-strike smile after the out-of-the-money and quality filters.</w:t>
      </w:r>
    </w:p>
    <w:p w:rsidR="009316D7" w:rsidRDefault="00000000">
      <w:r>
        <w:t xml:space="preserve">Rather than assuming SPY's trailing dividend yield, the rate is pinned externally (5.40%, FRED DGS3MO) and the forward implied from put-call parity across 22 liquid strikes. Those 22 estimates agree to a standard deviation of $0.203 — about 4bp of spot — which is the evidence the method worked. The forward comes out at </w:t>
      </w:r>
      <w:r>
        <w:rPr>
          <w:b/>
        </w:rPr>
        <w:t>$478.892</w:t>
      </w:r>
      <w:r>
        <w:t xml:space="preserve"> and backs out an implied dividend yield of -0.1926%, essentially zero. That is correct: no SPY ex-dividend date falls between 2023-12-29 and 2024-02-16. Assuming the ~1.4% trailing yield would have mispriced the forward by about $0.90, roughly four strike increments.</w:t>
      </w:r>
    </w:p>
    <w:p w:rsidR="009316D7" w:rsidRDefault="00000000">
      <w:r>
        <w:t xml:space="preserve">Validation found a real vendor defect. The 2022 file's date stamping is broken: 4 real NYSE trading days are absent and 9 rows are stamped on days the market was closed. These damage a return sample in opposite directions — a missing day compresses two sessions into one return, a phantom row injects a spurious near-zero one. </w:t>
      </w:r>
      <w:r>
        <w:rPr>
          <w:b/>
        </w:rPr>
        <w:t>Zero of them fall inside the 250-day VaR window</w:t>
      </w:r>
      <w:r>
        <w:t>, and this is now checked on every run against a derived NYSE calendar.</w:t>
      </w:r>
    </w:p>
    <w:p w:rsidR="009316D7" w:rsidRDefault="00000000">
      <w:pPr>
        <w:jc w:val="center"/>
      </w:pPr>
      <w:r>
        <w:rPr>
          <w:noProof/>
        </w:rPr>
        <w:drawing>
          <wp:inline distT="0" distB="0" distL="0" distR="0">
            <wp:extent cx="5852160" cy="35112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_smile_raw.png"/>
                    <pic:cNvPicPr/>
                  </pic:nvPicPr>
                  <pic:blipFill>
                    <a:blip r:embed="rId7"/>
                    <a:stretch>
                      <a:fillRect/>
                    </a:stretch>
                  </pic:blipFill>
                  <pic:spPr>
                    <a:xfrm>
                      <a:off x="0" y="0"/>
                      <a:ext cx="5852160" cy="3511296"/>
                    </a:xfrm>
                    <a:prstGeom prst="rect">
                      <a:avLst/>
                    </a:prstGeom>
                  </pic:spPr>
                </pic:pic>
              </a:graphicData>
            </a:graphic>
          </wp:inline>
        </w:drawing>
      </w:r>
    </w:p>
    <w:p w:rsidR="009316D7" w:rsidRDefault="00000000">
      <w:pPr>
        <w:spacing w:after="200"/>
        <w:jc w:val="center"/>
      </w:pPr>
      <w:r>
        <w:rPr>
          <w:i/>
          <w:color w:val="666666"/>
          <w:sz w:val="17"/>
        </w:rPr>
        <w:t>vol_smile_raw.png — the raw market smile, out-of-the-money quotes only, with spot and forward marked</w:t>
      </w:r>
    </w:p>
    <w:p w:rsidR="009316D7" w:rsidRDefault="00000000">
      <w:pPr>
        <w:pStyle w:val="Heading2"/>
      </w:pPr>
      <w:r>
        <w:t>4.2  SABR calibration</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The 151-strike smile, the forward, and time to expiry.</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Four SABR parameters and a fit-quality report.</w:t>
            </w:r>
          </w:p>
        </w:tc>
      </w:tr>
    </w:tbl>
    <w:p w:rsidR="009316D7" w:rsidRDefault="009316D7">
      <w:pPr>
        <w:spacing w:after="40"/>
      </w:pPr>
    </w:p>
    <w:p w:rsidR="009316D7" w:rsidRDefault="00000000">
      <w:r>
        <w:t xml:space="preserve">Fitted to 103 strikes ($408-$550) within 15% of the forward, from 12 starting points. Beta is fixed at 1.0 rather than fitted, and the sensitivity table shows why: across beta from 0.0 to 1.0 the RMSE moves by 0.04 vol points — nothing — while </w:t>
      </w:r>
      <w:r>
        <w:rPr>
          <w:b/>
        </w:rPr>
        <w:t>alpha swings by a factor of 476</w:t>
      </w:r>
      <w:r>
        <w:t xml:space="preserve"> and rho slides to compensate. The data cannot tell beta and rho apart.</w:t>
      </w:r>
    </w:p>
    <w:tbl>
      <w:tblPr>
        <w:tblStyle w:val="LightGrid-Accent1"/>
        <w:tblW w:w="0" w:type="auto"/>
        <w:jc w:val="center"/>
        <w:tblLayout w:type="fixed"/>
        <w:tblLook w:val="04A0" w:firstRow="1" w:lastRow="0" w:firstColumn="1" w:lastColumn="0" w:noHBand="0" w:noVBand="1"/>
      </w:tblPr>
      <w:tblGrid>
        <w:gridCol w:w="1584"/>
        <w:gridCol w:w="2088"/>
        <w:gridCol w:w="5688"/>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r>
              <w:rPr>
                <w:sz w:val="17"/>
              </w:rPr>
              <w:t>Parameter</w:t>
            </w:r>
          </w:p>
        </w:tc>
        <w:tc>
          <w:tcPr>
            <w:tcW w:w="208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Value</w:t>
            </w:r>
          </w:p>
        </w:tc>
        <w:tc>
          <w:tcPr>
            <w:tcW w:w="568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Reading</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alpha</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0.109922</w:t>
            </w:r>
          </w:p>
        </w:tc>
        <w:tc>
          <w:tcPr>
            <w:tcW w:w="56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Volatility level; at beta=1 close to the ATM vol, ~11.0%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beta</w:t>
            </w:r>
          </w:p>
        </w:tc>
        <w:tc>
          <w:tcPr>
            <w:tcW w:w="20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1.0</w:t>
            </w:r>
          </w:p>
        </w:tc>
        <w:tc>
          <w:tcPr>
            <w:tcW w:w="56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Fixed, not fitted</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rho</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-0.510842</w:t>
            </w:r>
          </w:p>
        </w:tc>
        <w:tc>
          <w:tcPr>
            <w:tcW w:w="56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Negative, as an equity index should be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nu</w:t>
            </w:r>
          </w:p>
        </w:tc>
        <w:tc>
          <w:tcPr>
            <w:tcW w:w="20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2.103836</w:t>
            </w:r>
          </w:p>
        </w:tc>
        <w:tc>
          <w:tcPr>
            <w:tcW w:w="56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Vol-of-vol; sets smile curvature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RMSE</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0.2946 vol points</w:t>
            </w:r>
          </w:p>
        </w:tc>
        <w:tc>
          <w:tcPr>
            <w:tcW w:w="56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Max abs error 0.6378</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ATM skew</w:t>
            </w:r>
          </w:p>
        </w:tc>
        <w:tc>
          <w:tcPr>
            <w:tcW w:w="20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-0.5461</w:t>
            </w:r>
          </w:p>
        </w:tc>
        <w:tc>
          <w:tcPr>
            <w:tcW w:w="56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Vol points per 1% move in strike</w:t>
            </w:r>
          </w:p>
        </w:tc>
      </w:tr>
    </w:tbl>
    <w:p w:rsidR="009316D7" w:rsidRDefault="00000000">
      <w:r>
        <w:t>The headline finding of this stage is that the residuals are a data problem, not a model problem. Fitting each wing separately against its own noise floor (the RMS strike-to-strike jitter in the quoted vols) shows each one fits as well as anything could; the combined fit is worse than either because the two wings disagree with each other.</w:t>
      </w:r>
    </w:p>
    <w:tbl>
      <w:tblPr>
        <w:tblStyle w:val="LightGrid-Accent1"/>
        <w:tblW w:w="0" w:type="auto"/>
        <w:jc w:val="center"/>
        <w:tblLayout w:type="fixed"/>
        <w:tblLook w:val="04A0" w:firstRow="1" w:lastRow="0" w:firstColumn="1" w:lastColumn="0" w:noHBand="0" w:noVBand="1"/>
      </w:tblPr>
      <w:tblGrid>
        <w:gridCol w:w="1800"/>
        <w:gridCol w:w="1224"/>
        <w:gridCol w:w="1512"/>
        <w:gridCol w:w="2376"/>
        <w:gridCol w:w="158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rsidR="009316D7" w:rsidRDefault="00000000">
            <w:r>
              <w:rPr>
                <w:sz w:val="17"/>
              </w:rPr>
              <w:t>Fit</w:t>
            </w:r>
          </w:p>
        </w:tc>
        <w:tc>
          <w:tcPr>
            <w:tcW w:w="122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Strikes</w:t>
            </w:r>
          </w:p>
        </w:tc>
        <w:tc>
          <w:tcPr>
            <w:tcW w:w="151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RMSE</w:t>
            </w:r>
          </w:p>
        </w:tc>
        <w:tc>
          <w:tcPr>
            <w:tcW w:w="237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Data noise floor</w:t>
            </w:r>
          </w:p>
        </w:tc>
        <w:tc>
          <w:tcPr>
            <w:tcW w:w="15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rho</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rsidR="009316D7" w:rsidRDefault="00000000">
            <w:pPr>
              <w:spacing w:after="20"/>
            </w:pPr>
            <w:r>
              <w:rPr>
                <w:sz w:val="17"/>
              </w:rPr>
              <w:t>Both wings</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103</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0.2946</w:t>
            </w:r>
          </w:p>
        </w:tc>
        <w:tc>
          <w:tcPr>
            <w:tcW w:w="237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0.1140</w:t>
            </w:r>
          </w:p>
        </w:tc>
        <w:tc>
          <w:tcPr>
            <w:tcW w:w="15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-0.5108</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rsidR="009316D7" w:rsidRDefault="00000000">
            <w:pPr>
              <w:spacing w:after="20"/>
            </w:pPr>
            <w:r>
              <w:rPr>
                <w:sz w:val="17"/>
              </w:rPr>
              <w:t>Puts only</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69</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0.0751</w:t>
            </w:r>
          </w:p>
        </w:tc>
        <w:tc>
          <w:tcPr>
            <w:tcW w:w="237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0.0501</w:t>
            </w:r>
          </w:p>
        </w:tc>
        <w:tc>
          <w:tcPr>
            <w:tcW w:w="15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-0.2578</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rsidR="009316D7" w:rsidRDefault="00000000">
            <w:pPr>
              <w:spacing w:after="20"/>
            </w:pPr>
            <w:r>
              <w:rPr>
                <w:sz w:val="17"/>
              </w:rPr>
              <w:t>Calls only</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34</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0.2036</w:t>
            </w:r>
          </w:p>
        </w:tc>
        <w:tc>
          <w:tcPr>
            <w:tcW w:w="237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0.1851</w:t>
            </w:r>
          </w:p>
        </w:tc>
        <w:tc>
          <w:tcPr>
            <w:tcW w:w="15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-0.6008</w:t>
            </w:r>
          </w:p>
        </w:tc>
      </w:tr>
    </w:tbl>
    <w:p w:rsidR="009316D7" w:rsidRDefault="00000000">
      <w:r>
        <w:t>The call wing is 3.7x noisier than the put wing. This is what motivates stage 3.4.</w:t>
      </w:r>
    </w:p>
    <w:p w:rsidR="009316D7" w:rsidRDefault="00000000">
      <w:pPr>
        <w:jc w:val="center"/>
      </w:pPr>
      <w:r>
        <w:rPr>
          <w:noProof/>
        </w:rPr>
        <w:lastRenderedPageBreak/>
        <w:drawing>
          <wp:inline distT="0" distB="0" distL="0" distR="0">
            <wp:extent cx="5852160" cy="42561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br_fit.png"/>
                    <pic:cNvPicPr/>
                  </pic:nvPicPr>
                  <pic:blipFill>
                    <a:blip r:embed="rId8"/>
                    <a:stretch>
                      <a:fillRect/>
                    </a:stretch>
                  </pic:blipFill>
                  <pic:spPr>
                    <a:xfrm>
                      <a:off x="0" y="0"/>
                      <a:ext cx="5852160" cy="4256116"/>
                    </a:xfrm>
                    <a:prstGeom prst="rect">
                      <a:avLst/>
                    </a:prstGeom>
                  </pic:spPr>
                </pic:pic>
              </a:graphicData>
            </a:graphic>
          </wp:inline>
        </w:drawing>
      </w:r>
    </w:p>
    <w:p w:rsidR="009316D7" w:rsidRDefault="00000000">
      <w:pPr>
        <w:spacing w:after="200"/>
        <w:jc w:val="center"/>
      </w:pPr>
      <w:r>
        <w:rPr>
          <w:i/>
          <w:color w:val="666666"/>
          <w:sz w:val="17"/>
        </w:rPr>
        <w:t>sabr_fit.png — market vols against the calibrated curve, with per-strike residuals beneath; the residual jump at the forward is the wings disagreeing</w:t>
      </w:r>
    </w:p>
    <w:p w:rsidR="009316D7" w:rsidRDefault="00000000">
      <w:pPr>
        <w:pStyle w:val="Heading2"/>
      </w:pPr>
      <w:r>
        <w:t>4.3  BAW pricing engine</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A volatility, a strike, spot, time, rate and cost of carry.</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An American option price — and, run in reverse, an implied volatility.</w:t>
            </w:r>
          </w:p>
        </w:tc>
      </w:tr>
    </w:tbl>
    <w:p w:rsidR="009316D7" w:rsidRDefault="009316D7">
      <w:pPr>
        <w:spacing w:after="40"/>
      </w:pPr>
    </w:p>
    <w:p w:rsidR="009316D7" w:rsidRDefault="00000000">
      <w:r>
        <w:t xml:space="preserve">Built and validated with no SABR involvement: volatility is a plain input argument here. Ten checks run from python3 baw.py and all pass. The sharpest of them is that an American call on a non-dividend-paying underlying (b = r) must equal the European call — it passes to </w:t>
      </w:r>
      <w:r>
        <w:rPr>
          <w:b/>
        </w:rPr>
        <w:t>exactly zero, not merely to tolerance</w:t>
      </w:r>
      <w:r>
        <w:t>.</w:t>
      </w:r>
    </w:p>
    <w:tbl>
      <w:tblPr>
        <w:tblStyle w:val="LightGrid-Accent1"/>
        <w:tblW w:w="0" w:type="auto"/>
        <w:jc w:val="center"/>
        <w:tblLayout w:type="fixed"/>
        <w:tblLook w:val="04A0" w:firstRow="1" w:lastRow="0" w:firstColumn="1" w:lastColumn="0" w:noHBand="0" w:noVBand="1"/>
      </w:tblPr>
      <w:tblGrid>
        <w:gridCol w:w="4464"/>
        <w:gridCol w:w="4896"/>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r>
              <w:rPr>
                <w:sz w:val="17"/>
              </w:rPr>
              <w:t>Check</w:t>
            </w:r>
          </w:p>
        </w:tc>
        <w:tc>
          <w:tcPr>
            <w:tcW w:w="489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Result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European put-call parity</w:t>
            </w:r>
          </w:p>
        </w:tc>
        <w:tc>
          <w:tcPr>
            <w:tcW w:w="48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Worst error 2.8e-14 across 6 cases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American call = European when b = r</w:t>
            </w:r>
          </w:p>
        </w:tc>
        <w:tc>
          <w:tcPr>
            <w:tcW w:w="48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 xml:space="preserve">Worst spurious premium </w:t>
            </w:r>
            <w:r>
              <w:rPr>
                <w:b/>
                <w:sz w:val="17"/>
              </w:rPr>
              <w:t>exactly 0.0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American &gt;= European and &gt;= intrinsic</w:t>
            </w:r>
          </w:p>
        </w:tc>
        <w:tc>
          <w:tcPr>
            <w:tcW w:w="48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 violations in 1,350 grid points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BAW vs binomial, stress grid</w:t>
            </w:r>
          </w:p>
        </w:tc>
        <w:tc>
          <w:tcPr>
            <w:tcW w:w="48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Worst absolute error $0.0599</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BAW vs binomial, SPY regime</w:t>
            </w:r>
          </w:p>
        </w:tc>
        <w:tc>
          <w:tcPr>
            <w:tcW w:w="48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Worst absolute error $0.1439</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Monotonicity</w:t>
            </w:r>
          </w:p>
        </w:tc>
        <w:tc>
          <w:tcPr>
            <w:tcW w:w="48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10 sequences, all correct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Critical exercise prices</w:t>
            </w:r>
          </w:p>
        </w:tc>
        <w:tc>
          <w:tcPr>
            <w:tcW w:w="48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Correct side of strike, move away as vol rises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64" w:type="dxa"/>
          </w:tcPr>
          <w:p w:rsidR="009316D7" w:rsidRDefault="00000000">
            <w:pPr>
              <w:spacing w:after="20"/>
            </w:pPr>
            <w:r>
              <w:rPr>
                <w:sz w:val="17"/>
              </w:rPr>
              <w:t>Implied volatility round trip</w:t>
            </w:r>
          </w:p>
        </w:tc>
        <w:tc>
          <w:tcPr>
            <w:tcW w:w="48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128 cases, worst error 7.893e-06</w:t>
            </w:r>
          </w:p>
        </w:tc>
      </w:tr>
    </w:tbl>
    <w:p w:rsidR="009316D7" w:rsidRDefault="00000000">
      <w:r>
        <w:t xml:space="preserve">Tolerances are gated on absolute dollar error, not relative. Tests initially gated on relative error failed; rather than loosening the threshold, the errors were verified against a 40,000-step lattice to be BAW's documented </w:t>
      </w:r>
      <w:r>
        <w:lastRenderedPageBreak/>
        <w:t>behaviour — smallest at the money, peaking just below the exercise boundary, exactly zero past it. Correctness rests on the exact structural tests above, not on the approximation-quality comparisons.</w:t>
      </w:r>
    </w:p>
    <w:p w:rsidR="009316D7" w:rsidRDefault="00000000">
      <w:r>
        <w:t xml:space="preserve">The measured cost of using BAW. In our regime calls are exact — with b = 5.5926% &gt; r = 5.4000% early exercise is never optimal, so BAW returns the European price and the lattice agrees to 0.02%. Puts carry real error whose sign flips with moneyness: BAW understates the at-the-money premium (recovering ~95%) and overstates it out of the money by more than 2x. Because the sign changes, the error does not cancel when prices are differenced to form scenario P&amp;Ls — it amplifies. The worst P&amp;L error is $0.0852 against a price-level error of $0.0155, 5.5x larger, contributing </w:t>
      </w:r>
      <w:r>
        <w:rPr>
          <w:b/>
        </w:rPr>
        <w:t>roughly 1% error to every scenario P&amp;L</w:t>
      </w:r>
      <w:r>
        <w:t xml:space="preserve"> and therefore to the final VaR.</w:t>
      </w:r>
    </w:p>
    <w:p w:rsidR="009316D7" w:rsidRDefault="00000000">
      <w:pPr>
        <w:pStyle w:val="Heading2"/>
      </w:pPr>
      <w:r>
        <w:t>4.4  Re-implying volatilities and wiring SABR into BAW</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The 151-strike smile of OTM mid prices, plus the parity forward.</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Our own volatilities, a recalibrated SABR, and theoretical prices to compare against the market.</w:t>
            </w:r>
          </w:p>
        </w:tc>
      </w:tr>
    </w:tbl>
    <w:p w:rsidR="009316D7" w:rsidRDefault="009316D7">
      <w:pPr>
        <w:spacing w:after="40"/>
      </w:pPr>
    </w:p>
    <w:p w:rsidR="009316D7" w:rsidRDefault="00000000">
      <w:r>
        <w:t>The vendor's put and call implied vols are mutually inconsistent, so every volatility is recomputed here by inverting the same BAW pricer against the same parity forward that the rest of the project uses. All 151 OTM strikes inverted; none failed. The difference from the vendor is a systematic offset that flips sign at the forward — OTM puts +0.1231 vol points, OTM calls -0.0911 — not random noise.</w:t>
      </w:r>
    </w:p>
    <w:p w:rsidR="009316D7" w:rsidRDefault="00000000">
      <w:r>
        <w:t>The decisive evidence is the sign of the crossover gap. The smile slopes down through this strike region, so a self-consistent smile must show a negative gap going from the last put to the first call.</w:t>
      </w:r>
    </w:p>
    <w:tbl>
      <w:tblPr>
        <w:tblStyle w:val="LightGrid-Accent1"/>
        <w:tblW w:w="0" w:type="auto"/>
        <w:jc w:val="center"/>
        <w:tblLayout w:type="fixed"/>
        <w:tblLook w:val="04A0" w:firstRow="1" w:lastRow="0" w:firstColumn="1" w:lastColumn="0" w:noHBand="0" w:noVBand="1"/>
      </w:tblPr>
      <w:tblGrid>
        <w:gridCol w:w="1584"/>
        <w:gridCol w:w="2376"/>
        <w:gridCol w:w="2520"/>
        <w:gridCol w:w="28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9316D7"/>
        </w:tc>
        <w:tc>
          <w:tcPr>
            <w:tcW w:w="237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Last put K=476</w:t>
            </w:r>
          </w:p>
        </w:tc>
        <w:tc>
          <w:tcPr>
            <w:tcW w:w="252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First call K=479</w:t>
            </w:r>
          </w:p>
        </w:tc>
        <w:tc>
          <w:tcPr>
            <w:tcW w:w="28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Adjacent gap</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Vendor IV</w:t>
            </w:r>
          </w:p>
        </w:tc>
        <w:tc>
          <w:tcPr>
            <w:tcW w:w="237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11.379%</w:t>
            </w:r>
          </w:p>
        </w:tc>
        <w:tc>
          <w:tcPr>
            <w:tcW w:w="252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11.670%</w:t>
            </w:r>
          </w:p>
        </w:tc>
        <w:tc>
          <w:tcPr>
            <w:tcW w:w="28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+0.291 — wrong sign</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rsidR="009316D7" w:rsidRDefault="00000000">
            <w:pPr>
              <w:spacing w:after="20"/>
            </w:pPr>
            <w:r>
              <w:rPr>
                <w:sz w:val="17"/>
              </w:rPr>
              <w:t>Our IV</w:t>
            </w:r>
          </w:p>
        </w:tc>
        <w:tc>
          <w:tcPr>
            <w:tcW w:w="237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11.567%</w:t>
            </w:r>
          </w:p>
        </w:tc>
        <w:tc>
          <w:tcPr>
            <w:tcW w:w="2520"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11.358%</w:t>
            </w:r>
          </w:p>
        </w:tc>
        <w:tc>
          <w:tcPr>
            <w:tcW w:w="2880"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-0.209 — correct sign</w:t>
            </w:r>
          </w:p>
        </w:tc>
      </w:tr>
    </w:tbl>
    <w:p w:rsidR="009316D7" w:rsidRDefault="00000000">
      <w:r>
        <w:t xml:space="preserve">Recalibrating on the corrected smile improves the SABR RMSE from </w:t>
      </w:r>
      <w:r>
        <w:rPr>
          <w:b/>
        </w:rPr>
        <w:t>0.2946 to 0.2346 vol points</w:t>
      </w:r>
      <w:r>
        <w:t xml:space="preserve"> and the put-wing roughness from 0.0501 to 0.0320. The final parameters are alpha 0.109797, rho -0.524225, nu 2.132810.</w:t>
      </w:r>
    </w:p>
    <w:p w:rsidR="009316D7" w:rsidRDefault="00000000">
      <w:pPr>
        <w:jc w:val="center"/>
      </w:pPr>
      <w:r>
        <w:rPr>
          <w:noProof/>
        </w:rPr>
        <w:lastRenderedPageBreak/>
        <w:drawing>
          <wp:inline distT="0" distB="0" distL="0" distR="0">
            <wp:extent cx="5852160" cy="42561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implied_vs_vendor_vols.png"/>
                    <pic:cNvPicPr/>
                  </pic:nvPicPr>
                  <pic:blipFill>
                    <a:blip r:embed="rId9"/>
                    <a:stretch>
                      <a:fillRect/>
                    </a:stretch>
                  </pic:blipFill>
                  <pic:spPr>
                    <a:xfrm>
                      <a:off x="0" y="0"/>
                      <a:ext cx="5852160" cy="4256116"/>
                    </a:xfrm>
                    <a:prstGeom prst="rect">
                      <a:avLst/>
                    </a:prstGeom>
                  </pic:spPr>
                </pic:pic>
              </a:graphicData>
            </a:graphic>
          </wp:inline>
        </w:drawing>
      </w:r>
    </w:p>
    <w:p w:rsidR="009316D7" w:rsidRDefault="00000000">
      <w:pPr>
        <w:spacing w:after="200"/>
        <w:jc w:val="center"/>
      </w:pPr>
      <w:r>
        <w:rPr>
          <w:i/>
          <w:color w:val="666666"/>
          <w:sz w:val="17"/>
        </w:rPr>
        <w:t>reimplied_vs_vendor_vols.png — our volatilities against the vendor's; the lower panel shows the offset flipping sign at the forward</w:t>
      </w:r>
    </w:p>
    <w:p w:rsidR="009316D7" w:rsidRDefault="00000000">
      <w:r>
        <w:t>A residual inconsistency remains and was diagnosed rather than patched. It does not close by moving the forward: the gap would need F around $479.6, some $0.70 above the parity forward and 3.5 standard deviations of that estimate. De-Americanising the parity calculation moves it only +$0.144, about 20% of the gap — real and correctly signed, but not the main cause. The remainder is most likely that the parity forward is computed from both legs, one of which is always the illiquid in-the-money one.</w:t>
      </w:r>
    </w:p>
    <w:p w:rsidR="009316D7" w:rsidRDefault="00000000">
      <w:r>
        <w:t>With the volatilities settled, price_option_with_sabr joins the two models: SABR reads the smile at the forward, BAW prices from spot. The two are separate arguments because conflating them is the classic bug at this junction — here they differ by $3.58, more than three strike increments.</w:t>
      </w:r>
    </w:p>
    <w:p w:rsidR="009316D7" w:rsidRDefault="00000000">
      <w:r>
        <w:t xml:space="preserve">Across 103 strikes the mean absolute error is $0.0718 and the mean signed error -$0.0007, so there is scatter but no bias. Only 6 of 103 land inside the bid-ask spread, which looks alarming until you see that SPY spreads here are a single penny (median $0.010, 0.94% of mid) — matching the market to half a cent is not a standard any smile model meets. The meaningful test is attribution: multiplying each strike's volatility error by its vega explains </w:t>
      </w:r>
      <w:r>
        <w:rPr>
          <w:b/>
        </w:rPr>
        <w:t>99.21% of the observed price error</w:t>
      </w:r>
      <w:r>
        <w:t>, correlation 0.999974, unexplained residual $0.000567. If the forward/spot wiring were wrong the error would be structural and would not track the volatility fit. It does, so the plumbing is correct.</w:t>
      </w:r>
    </w:p>
    <w:p w:rsidR="009316D7" w:rsidRDefault="00000000">
      <w:pPr>
        <w:jc w:val="center"/>
      </w:pPr>
      <w:r>
        <w:rPr>
          <w:noProof/>
        </w:rPr>
        <w:lastRenderedPageBreak/>
        <w:drawing>
          <wp:inline distT="0" distB="0" distL="0" distR="0">
            <wp:extent cx="5852160" cy="42561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w_vs_market_prices.png"/>
                    <pic:cNvPicPr/>
                  </pic:nvPicPr>
                  <pic:blipFill>
                    <a:blip r:embed="rId10"/>
                    <a:stretch>
                      <a:fillRect/>
                    </a:stretch>
                  </pic:blipFill>
                  <pic:spPr>
                    <a:xfrm>
                      <a:off x="0" y="0"/>
                      <a:ext cx="5852160" cy="4256116"/>
                    </a:xfrm>
                    <a:prstGeom prst="rect">
                      <a:avLst/>
                    </a:prstGeom>
                  </pic:spPr>
                </pic:pic>
              </a:graphicData>
            </a:graphic>
          </wp:inline>
        </w:drawing>
      </w:r>
    </w:p>
    <w:p w:rsidR="009316D7" w:rsidRDefault="00000000">
      <w:pPr>
        <w:spacing w:after="200"/>
        <w:jc w:val="center"/>
      </w:pPr>
      <w:r>
        <w:rPr>
          <w:i/>
          <w:color w:val="666666"/>
          <w:sz w:val="17"/>
        </w:rPr>
        <w:t>baw_vs_market_prices.png — theoretical against market prices, with the bid-ask band and the error in half-spreads beneath</w:t>
      </w:r>
    </w:p>
    <w:p w:rsidR="009316D7" w:rsidRDefault="00000000">
      <w:pPr>
        <w:pStyle w:val="Heading2"/>
      </w:pPr>
      <w:r>
        <w:t>4.5  Historical scenario generation</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The SPY close series and today's spot.</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250 alternative prices for tomorrow, each tagged with the date it came from.</w:t>
            </w:r>
          </w:p>
        </w:tc>
      </w:tr>
    </w:tbl>
    <w:p w:rsidR="009316D7" w:rsidRDefault="009316D7">
      <w:pPr>
        <w:spacing w:after="40"/>
      </w:pPr>
    </w:p>
    <w:p w:rsidR="009316D7" w:rsidRDefault="00000000">
      <w:r>
        <w:t>No option pricing happens here. Each of the last 250 daily returns is applied to today's $475.31, giving scenario prices from $465.80 to $486.16. The window is 2023-01-03 to 2023-12-29 — exactly calendar 2023, since 250 trading days back lands on the first trading day of the year — and contains zero calendar defects.</w:t>
      </w:r>
    </w:p>
    <w:tbl>
      <w:tblPr>
        <w:tblStyle w:val="LightGrid-Accent1"/>
        <w:tblW w:w="0" w:type="auto"/>
        <w:jc w:val="center"/>
        <w:tblLayout w:type="fixed"/>
        <w:tblLook w:val="04A0" w:firstRow="1" w:lastRow="0" w:firstColumn="1" w:lastColumn="0" w:noHBand="0" w:noVBand="1"/>
      </w:tblPr>
      <w:tblGrid>
        <w:gridCol w:w="2376"/>
        <w:gridCol w:w="1656"/>
        <w:gridCol w:w="2232"/>
        <w:gridCol w:w="3096"/>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rsidR="009316D7" w:rsidRDefault="00000000">
            <w:r>
              <w:rPr>
                <w:sz w:val="17"/>
              </w:rPr>
              <w:t>Statistic</w:t>
            </w:r>
          </w:p>
        </w:tc>
        <w:tc>
          <w:tcPr>
            <w:tcW w:w="165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Value</w:t>
            </w:r>
          </w:p>
        </w:tc>
        <w:tc>
          <w:tcPr>
            <w:tcW w:w="223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Statistic</w:t>
            </w:r>
          </w:p>
        </w:tc>
        <w:tc>
          <w:tcPr>
            <w:tcW w:w="309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Value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rsidR="009316D7" w:rsidRDefault="00000000">
            <w:pPr>
              <w:spacing w:after="20"/>
            </w:pPr>
            <w:r>
              <w:rPr>
                <w:sz w:val="17"/>
              </w:rPr>
              <w:t>Mean daily return</w:t>
            </w:r>
          </w:p>
        </w:tc>
        <w:tc>
          <w:tcPr>
            <w:tcW w:w="165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+0.0904%</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Skewness</w:t>
            </w:r>
          </w:p>
        </w:tc>
        <w:tc>
          <w:tcPr>
            <w:tcW w:w="30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-0.0278</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rsidR="009316D7" w:rsidRDefault="00000000">
            <w:pPr>
              <w:spacing w:after="20"/>
            </w:pPr>
            <w:r>
              <w:rPr>
                <w:sz w:val="17"/>
              </w:rPr>
              <w:t>Daily volatility</w:t>
            </w:r>
          </w:p>
        </w:tc>
        <w:tc>
          <w:tcPr>
            <w:tcW w:w="165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0.8277%</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Excess kurtosis</w:t>
            </w:r>
          </w:p>
        </w:tc>
        <w:tc>
          <w:tcPr>
            <w:tcW w:w="30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-0.1784</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rsidR="009316D7" w:rsidRDefault="00000000">
            <w:pPr>
              <w:spacing w:after="20"/>
            </w:pPr>
            <w:r>
              <w:rPr>
                <w:sz w:val="17"/>
              </w:rPr>
              <w:t>Annualised volatility</w:t>
            </w:r>
          </w:p>
        </w:tc>
        <w:tc>
          <w:tcPr>
            <w:tcW w:w="165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13.14%</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Worst day</w:t>
            </w:r>
          </w:p>
        </w:tc>
        <w:tc>
          <w:tcPr>
            <w:tcW w:w="309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-2.0012% (2023-02-21)</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rsidR="009316D7" w:rsidRDefault="00000000">
            <w:pPr>
              <w:spacing w:after="20"/>
            </w:pPr>
            <w:r>
              <w:rPr>
                <w:sz w:val="17"/>
              </w:rPr>
              <w:t>Scenarios</w:t>
            </w:r>
          </w:p>
        </w:tc>
        <w:tc>
          <w:tcPr>
            <w:tcW w:w="165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250</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Best day</w:t>
            </w:r>
          </w:p>
        </w:tc>
        <w:tc>
          <w:tcPr>
            <w:tcW w:w="309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+2.2827% (2023-01-06)</w:t>
            </w:r>
          </w:p>
        </w:tc>
      </w:tr>
    </w:tbl>
    <w:p w:rsidR="009316D7" w:rsidRDefault="00000000">
      <w:r>
        <w:t xml:space="preserve">The headline finding is that this window has </w:t>
      </w:r>
      <w:r>
        <w:rPr>
          <w:b/>
        </w:rPr>
        <w:t>thin tails</w:t>
      </w:r>
      <w:r>
        <w:t>, contradicting the textbook expectation. Excess kurtosis of -0.18 means the tails are thinner than a normal, not fatter, and not a single day in 2023 moved beyond 3 sigma (against 0.67 a fitted normal predicts). A normal fitted to a calm year is stretched wide by a handful of moderately large days and ends up with more tail weight than the data itself.</w:t>
      </w:r>
    </w:p>
    <w:p w:rsidR="009316D7" w:rsidRDefault="00000000">
      <w:r>
        <w:t>How much the window matters is quantified directly. Same position, same model, same method, standing at each year end instead:</w:t>
      </w:r>
    </w:p>
    <w:tbl>
      <w:tblPr>
        <w:tblStyle w:val="LightGrid-Accent1"/>
        <w:tblW w:w="0" w:type="auto"/>
        <w:jc w:val="center"/>
        <w:tblLayout w:type="fixed"/>
        <w:tblLook w:val="04A0" w:firstRow="1" w:lastRow="0" w:firstColumn="1" w:lastColumn="0" w:noHBand="0" w:noVBand="1"/>
      </w:tblPr>
      <w:tblGrid>
        <w:gridCol w:w="1944"/>
        <w:gridCol w:w="1368"/>
        <w:gridCol w:w="1224"/>
        <w:gridCol w:w="1584"/>
        <w:gridCol w:w="1512"/>
        <w:gridCol w:w="1728"/>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r>
              <w:rPr>
                <w:sz w:val="17"/>
              </w:rPr>
              <w:lastRenderedPageBreak/>
              <w:t>As of</w:t>
            </w:r>
          </w:p>
        </w:tc>
        <w:tc>
          <w:tcPr>
            <w:tcW w:w="136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Ann. vol</w:t>
            </w:r>
          </w:p>
        </w:tc>
        <w:tc>
          <w:tcPr>
            <w:tcW w:w="122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Skew</w:t>
            </w:r>
          </w:p>
        </w:tc>
        <w:tc>
          <w:tcPr>
            <w:tcW w:w="158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Excess kurt</w:t>
            </w:r>
          </w:p>
        </w:tc>
        <w:tc>
          <w:tcPr>
            <w:tcW w:w="151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Worst day</w:t>
            </w:r>
          </w:p>
        </w:tc>
        <w:tc>
          <w:tcPr>
            <w:tcW w:w="172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1st percentile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2011-12-30</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23.08%</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-0.433</w:t>
            </w:r>
          </w:p>
        </w:tc>
        <w:tc>
          <w:tcPr>
            <w:tcW w:w="15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+2.581</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-6.51%</w:t>
            </w:r>
          </w:p>
        </w:tc>
        <w:tc>
          <w:tcPr>
            <w:tcW w:w="172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-4.34%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2015-12-31</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15.65%</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-0.231</w:t>
            </w:r>
          </w:p>
        </w:tc>
        <w:tc>
          <w:tcPr>
            <w:tcW w:w="15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+2.117</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-4.13%</w:t>
            </w:r>
          </w:p>
        </w:tc>
        <w:tc>
          <w:tcPr>
            <w:tcW w:w="172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-2.78%</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2018-12-31</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17.18%</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-0.409</w:t>
            </w:r>
          </w:p>
        </w:tc>
        <w:tc>
          <w:tcPr>
            <w:tcW w:w="15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+3.148</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-4.21%</w:t>
            </w:r>
          </w:p>
        </w:tc>
        <w:tc>
          <w:tcPr>
            <w:tcW w:w="172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-3.21%</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2020-12-31</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34.14%</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-0.598</w:t>
            </w:r>
          </w:p>
        </w:tc>
        <w:tc>
          <w:tcPr>
            <w:tcW w:w="15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+7.631</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-11.51%</w:t>
            </w:r>
          </w:p>
        </w:tc>
        <w:tc>
          <w:tcPr>
            <w:tcW w:w="172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-6.76%</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2022-12-30</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24.09%</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+0.026</w:t>
            </w:r>
          </w:p>
        </w:tc>
        <w:tc>
          <w:tcPr>
            <w:tcW w:w="158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+0.362</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-4.34%</w:t>
            </w:r>
          </w:p>
        </w:tc>
        <w:tc>
          <w:tcPr>
            <w:tcW w:w="172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-3.74%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44" w:type="dxa"/>
          </w:tcPr>
          <w:p w:rsidR="009316D7" w:rsidRDefault="00000000">
            <w:pPr>
              <w:spacing w:after="20"/>
            </w:pPr>
            <w:r>
              <w:rPr>
                <w:sz w:val="17"/>
              </w:rPr>
              <w:t>2023-12-29 (ours)</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13.14%</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-0.028</w:t>
            </w:r>
          </w:p>
        </w:tc>
        <w:tc>
          <w:tcPr>
            <w:tcW w:w="158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-0.178</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-2.00%</w:t>
            </w:r>
          </w:p>
        </w:tc>
        <w:tc>
          <w:tcPr>
            <w:tcW w:w="172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-1.64%</w:t>
            </w:r>
          </w:p>
        </w:tc>
      </w:tr>
    </w:tbl>
    <w:p w:rsidR="009316D7" w:rsidRDefault="00000000">
      <w:r>
        <w:t xml:space="preserve">Ours is the calmest of the six and the only one with negative excess kurtosis. The 1st percentile — essentially what the 99% VaR reads — is -1.64% for us against -6.76% for a 2020 window, </w:t>
      </w:r>
      <w:r>
        <w:rPr>
          <w:b/>
        </w:rPr>
        <w:t>4.1x larger</w:t>
      </w:r>
      <w:r>
        <w:t>. That factor is not a modelling choice or a market view, only which twelve months precede the reference date.</w:t>
      </w:r>
    </w:p>
    <w:p w:rsidR="009316D7" w:rsidRDefault="00000000">
      <w:pPr>
        <w:jc w:val="center"/>
      </w:pPr>
      <w:r>
        <w:rPr>
          <w:noProof/>
        </w:rPr>
        <w:drawing>
          <wp:inline distT="0" distB="0" distL="0" distR="0">
            <wp:extent cx="5852160" cy="31920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y_price_history.png"/>
                    <pic:cNvPicPr/>
                  </pic:nvPicPr>
                  <pic:blipFill>
                    <a:blip r:embed="rId11"/>
                    <a:stretch>
                      <a:fillRect/>
                    </a:stretch>
                  </pic:blipFill>
                  <pic:spPr>
                    <a:xfrm>
                      <a:off x="0" y="0"/>
                      <a:ext cx="5852160" cy="3192087"/>
                    </a:xfrm>
                    <a:prstGeom prst="rect">
                      <a:avLst/>
                    </a:prstGeom>
                  </pic:spPr>
                </pic:pic>
              </a:graphicData>
            </a:graphic>
          </wp:inline>
        </w:drawing>
      </w:r>
    </w:p>
    <w:p w:rsidR="009316D7" w:rsidRDefault="00000000">
      <w:pPr>
        <w:spacing w:after="200"/>
        <w:jc w:val="center"/>
      </w:pPr>
      <w:r>
        <w:rPr>
          <w:i/>
          <w:color w:val="666666"/>
          <w:sz w:val="17"/>
        </w:rPr>
        <w:t>spy_price_history.png — the lookback window shaded; the entire 2022 bear market sits outside it and contributes nothing</w:t>
      </w:r>
    </w:p>
    <w:p w:rsidR="009316D7" w:rsidRDefault="00000000">
      <w:pPr>
        <w:jc w:val="center"/>
      </w:pPr>
      <w:r>
        <w:rPr>
          <w:noProof/>
        </w:rPr>
        <w:lastRenderedPageBreak/>
        <w:drawing>
          <wp:inline distT="0" distB="0" distL="0" distR="0">
            <wp:extent cx="5852160" cy="31920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ily_returns_histogram.png"/>
                    <pic:cNvPicPr/>
                  </pic:nvPicPr>
                  <pic:blipFill>
                    <a:blip r:embed="rId12"/>
                    <a:stretch>
                      <a:fillRect/>
                    </a:stretch>
                  </pic:blipFill>
                  <pic:spPr>
                    <a:xfrm>
                      <a:off x="0" y="0"/>
                      <a:ext cx="5852160" cy="3192087"/>
                    </a:xfrm>
                    <a:prstGeom prst="rect">
                      <a:avLst/>
                    </a:prstGeom>
                  </pic:spPr>
                </pic:pic>
              </a:graphicData>
            </a:graphic>
          </wp:inline>
        </w:drawing>
      </w:r>
    </w:p>
    <w:p w:rsidR="009316D7" w:rsidRDefault="00000000">
      <w:pPr>
        <w:spacing w:after="200"/>
        <w:jc w:val="center"/>
      </w:pPr>
      <w:r>
        <w:rPr>
          <w:i/>
          <w:color w:val="666666"/>
          <w:sz w:val="17"/>
        </w:rPr>
        <w:t>daily_returns_histogram.png — the return distribution against a fitted normal, with skewness and excess kurtosis in the title</w:t>
      </w:r>
    </w:p>
    <w:p w:rsidR="009316D7" w:rsidRDefault="00000000">
      <w:pPr>
        <w:pStyle w:val="Heading2"/>
      </w:pPr>
      <w:r>
        <w:t>4.6  Full revaluation</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250 scenarios, the calibrated SABR parameters, and the position.</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250 scenario prices and P&amp;Ls.</w:t>
            </w:r>
          </w:p>
        </w:tc>
      </w:tr>
    </w:tbl>
    <w:p w:rsidR="009316D7" w:rsidRDefault="009316D7">
      <w:pPr>
        <w:spacing w:after="40"/>
      </w:pPr>
    </w:p>
    <w:p w:rsidR="009316D7" w:rsidRDefault="00000000">
      <w:r>
        <w:t xml:space="preserve">The position is long 1 x SPY 2024-02-16 $475 put. A put rather than a call deliberately: with b &gt; r, early exercise on a call is never optimal, so BAW would collapse to the European price and the American machinery would do nothing visible. Today's SABR volatility is 11.7554% and the theoretical price </w:t>
      </w:r>
      <w:r>
        <w:rPr>
          <w:b/>
        </w:rPr>
        <w:t>$6.639087</w:t>
      </w:r>
      <w:r>
        <w:t>, against a market mid of $6.5250.</w:t>
      </w:r>
    </w:p>
    <w:p w:rsidR="009316D7" w:rsidRDefault="00000000">
      <w:r>
        <w:t>For each scenario the loop shifts spot, recomputes the forward, asks SABR for a fresh volatility at that new forward, and reprices with BAW. It is a plain loop, one scenario per iteration. Three sanity checks pass: the scenario nearest a flat day reprices to exactly the base price (P&amp;L $0.000000); P&amp;L is monotone in the underlying move across all 250; and the P&amp;L is convex, which is the entire reason for full revaluation.</w:t>
      </w:r>
    </w:p>
    <w:tbl>
      <w:tblPr>
        <w:tblStyle w:val="LightGrid-Accent1"/>
        <w:tblW w:w="0" w:type="auto"/>
        <w:jc w:val="center"/>
        <w:tblLayout w:type="fixed"/>
        <w:tblLook w:val="04A0" w:firstRow="1" w:lastRow="0" w:firstColumn="1" w:lastColumn="0" w:noHBand="0" w:noVBand="1"/>
      </w:tblPr>
      <w:tblGrid>
        <w:gridCol w:w="1368"/>
        <w:gridCol w:w="2232"/>
        <w:gridCol w:w="2232"/>
        <w:gridCol w:w="3528"/>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8" w:type="dxa"/>
          </w:tcPr>
          <w:p w:rsidR="009316D7" w:rsidRDefault="00000000">
            <w:r>
              <w:rPr>
                <w:sz w:val="17"/>
              </w:rPr>
              <w:t>Move</w:t>
            </w:r>
          </w:p>
        </w:tc>
        <w:tc>
          <w:tcPr>
            <w:tcW w:w="223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P&amp;L down</w:t>
            </w:r>
          </w:p>
        </w:tc>
        <w:tc>
          <w:tcPr>
            <w:tcW w:w="223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P&amp;L up</w:t>
            </w:r>
          </w:p>
        </w:tc>
        <w:tc>
          <w:tcPr>
            <w:tcW w:w="352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Sum (positive = convex)</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8" w:type="dxa"/>
          </w:tcPr>
          <w:p w:rsidR="009316D7" w:rsidRDefault="00000000">
            <w:pPr>
              <w:spacing w:after="20"/>
            </w:pPr>
            <w:r>
              <w:rPr>
                <w:sz w:val="17"/>
              </w:rPr>
              <w:t>0.5%</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+0.894788</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-0.772707</w:t>
            </w:r>
          </w:p>
        </w:tc>
        <w:tc>
          <w:tcPr>
            <w:tcW w:w="352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+0.122080</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8" w:type="dxa"/>
          </w:tcPr>
          <w:p w:rsidR="009316D7" w:rsidRDefault="00000000">
            <w:pPr>
              <w:spacing w:after="20"/>
            </w:pPr>
            <w:r>
              <w:rPr>
                <w:sz w:val="17"/>
              </w:rPr>
              <w:t>1.0%</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+1.930181</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-1.440300</w:t>
            </w:r>
          </w:p>
        </w:tc>
        <w:tc>
          <w:tcPr>
            <w:tcW w:w="352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+0.489880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8" w:type="dxa"/>
          </w:tcPr>
          <w:p w:rsidR="009316D7" w:rsidRDefault="00000000">
            <w:pPr>
              <w:spacing w:after="20"/>
            </w:pPr>
            <w:r>
              <w:rPr>
                <w:sz w:val="17"/>
              </w:rPr>
              <w:t>2.0%</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+4.500072</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-2.518551</w:t>
            </w:r>
          </w:p>
        </w:tc>
        <w:tc>
          <w:tcPr>
            <w:tcW w:w="352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+1.981521</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8" w:type="dxa"/>
          </w:tcPr>
          <w:p w:rsidR="009316D7" w:rsidRDefault="00000000">
            <w:pPr>
              <w:spacing w:after="20"/>
            </w:pPr>
            <w:r>
              <w:rPr>
                <w:sz w:val="17"/>
              </w:rPr>
              <w:t>3.0%</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+7.851610</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-3.332826</w:t>
            </w:r>
          </w:p>
        </w:tc>
        <w:tc>
          <w:tcPr>
            <w:tcW w:w="352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+4.518784</w:t>
            </w:r>
          </w:p>
        </w:tc>
      </w:tr>
    </w:tbl>
    <w:p w:rsidR="009316D7" w:rsidRDefault="00000000">
      <w:r>
        <w:t xml:space="preserve">A linear position sums to exactly zero on every row. What the forbidden delta/gamma shortcut would have cost is measured directly, using Greeks taken from the full chain — deliberately the most favourable version of the shortcut. Delta-only error averages $0.166302 and peaks at $1.166583, which is 17.6% of the whole position value. Delta+gamma averages $0.017813 and peaks at $0.237816; on the single worst scenario it gives -$2.534 against the true -$2.772, </w:t>
      </w:r>
      <w:r>
        <w:rPr>
          <w:b/>
        </w:rPr>
        <w:t>understating the worst-case loss by 8.6%</w:t>
      </w:r>
      <w:r>
        <w:t>.</w:t>
      </w:r>
    </w:p>
    <w:p w:rsidR="009316D7" w:rsidRDefault="00000000">
      <w:r>
        <w:t xml:space="preserve">The volatility response is counterintuitive and worth stating. Under sticky-moneyness the smile is pinned to the forward, so a rally lowers K/F and slides our fixed strike deeper into the steep left wing: our put's volatility rises </w:t>
      </w:r>
      <w:r>
        <w:lastRenderedPageBreak/>
        <w:t>when the market rises. Against a sticky-strike alternative this dampens the P&amp;L in both directions, and since a long put loses when the market rallies, it is the less conservative convention for this position.</w:t>
      </w:r>
    </w:p>
    <w:tbl>
      <w:tblPr>
        <w:tblStyle w:val="LightGrid-Accent1"/>
        <w:tblW w:w="0" w:type="auto"/>
        <w:jc w:val="center"/>
        <w:tblLayout w:type="fixed"/>
        <w:tblLook w:val="04A0" w:firstRow="1" w:lastRow="0" w:firstColumn="1" w:lastColumn="0" w:noHBand="0" w:noVBand="1"/>
      </w:tblPr>
      <w:tblGrid>
        <w:gridCol w:w="1080"/>
        <w:gridCol w:w="1224"/>
        <w:gridCol w:w="1368"/>
        <w:gridCol w:w="2232"/>
        <w:gridCol w:w="1944"/>
        <w:gridCol w:w="1512"/>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rsidR="009316D7" w:rsidRDefault="00000000">
            <w:r>
              <w:rPr>
                <w:sz w:val="17"/>
              </w:rPr>
              <w:t>Move</w:t>
            </w:r>
          </w:p>
        </w:tc>
        <w:tc>
          <w:tcPr>
            <w:tcW w:w="122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K/F</w:t>
            </w:r>
          </w:p>
        </w:tc>
        <w:tc>
          <w:tcPr>
            <w:tcW w:w="136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Our vol</w:t>
            </w:r>
          </w:p>
        </w:tc>
        <w:tc>
          <w:tcPr>
            <w:tcW w:w="223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Sticky-moneyness</w:t>
            </w:r>
          </w:p>
        </w:tc>
        <w:tc>
          <w:tcPr>
            <w:tcW w:w="19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Sticky-strike</w:t>
            </w:r>
          </w:p>
        </w:tc>
        <w:tc>
          <w:tcPr>
            <w:tcW w:w="151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Difference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rsidR="009316D7" w:rsidRDefault="00000000">
            <w:pPr>
              <w:spacing w:after="20"/>
            </w:pPr>
            <w:r>
              <w:rPr>
                <w:sz w:val="17"/>
              </w:rPr>
              <w:t>-3%</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1.0225</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10.26%</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$14.49</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$15.15</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-$0.66</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rsidR="009316D7" w:rsidRDefault="00000000">
            <w:pPr>
              <w:spacing w:after="20"/>
            </w:pPr>
            <w:r>
              <w:rPr>
                <w:sz w:val="17"/>
              </w:rPr>
              <w:t>-1%</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1.0019</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11.16%</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$8.57</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$8.97</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-$0.40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rsidR="009316D7" w:rsidRDefault="00000000">
            <w:pPr>
              <w:spacing w:after="20"/>
            </w:pPr>
            <w:r>
              <w:rPr>
                <w:sz w:val="17"/>
              </w:rPr>
              <w:t>+1%</w:t>
            </w:r>
          </w:p>
        </w:tc>
        <w:tc>
          <w:tcPr>
            <w:tcW w:w="122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0.9821</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12.41%</w:t>
            </w:r>
          </w:p>
        </w:tc>
        <w:tc>
          <w:tcPr>
            <w:tcW w:w="223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$5.20</w:t>
            </w:r>
          </w:p>
        </w:tc>
        <w:tc>
          <w:tcPr>
            <w:tcW w:w="19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$4.78</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+$0.42</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rsidR="009316D7" w:rsidRDefault="00000000">
            <w:pPr>
              <w:spacing w:after="20"/>
            </w:pPr>
            <w:r>
              <w:rPr>
                <w:sz w:val="17"/>
              </w:rPr>
              <w:t>+3%</w:t>
            </w:r>
          </w:p>
        </w:tc>
        <w:tc>
          <w:tcPr>
            <w:tcW w:w="122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0.9630</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13.77%</w:t>
            </w:r>
          </w:p>
        </w:tc>
        <w:tc>
          <w:tcPr>
            <w:tcW w:w="223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$3.31</w:t>
            </w:r>
          </w:p>
        </w:tc>
        <w:tc>
          <w:tcPr>
            <w:tcW w:w="19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$2.27</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+$1.04</w:t>
            </w:r>
          </w:p>
        </w:tc>
      </w:tr>
    </w:tbl>
    <w:p w:rsidR="009316D7" w:rsidRDefault="00000000">
      <w:pPr>
        <w:pStyle w:val="Heading2"/>
      </w:pPr>
      <w:r>
        <w:t>4.7  VaR</w:t>
      </w:r>
    </w:p>
    <w:tbl>
      <w:tblPr>
        <w:tblStyle w:val="LightGrid-Accent1"/>
        <w:tblW w:w="0" w:type="auto"/>
        <w:jc w:val="center"/>
        <w:tblLayout w:type="fixed"/>
        <w:tblLook w:val="04A0" w:firstRow="1" w:lastRow="0" w:firstColumn="1" w:lastColumn="0" w:noHBand="0" w:noVBand="1"/>
      </w:tblPr>
      <w:tblGrid>
        <w:gridCol w:w="4680"/>
        <w:gridCol w:w="468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r>
              <w:rPr>
                <w:sz w:val="17"/>
              </w:rPr>
              <w:t>In</w:t>
            </w:r>
          </w:p>
        </w:tc>
        <w:tc>
          <w:tcPr>
            <w:tcW w:w="468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Out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80" w:type="dxa"/>
          </w:tcPr>
          <w:p w:rsidR="009316D7" w:rsidRDefault="00000000">
            <w:pPr>
              <w:spacing w:after="20"/>
            </w:pPr>
            <w:r>
              <w:rPr>
                <w:sz w:val="17"/>
              </w:rPr>
              <w:t>250 scenario P&amp;Ls.</w:t>
            </w:r>
          </w:p>
        </w:tc>
        <w:tc>
          <w:tcPr>
            <w:tcW w:w="468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 99% VaR, an expected shortfall, and the order statistics behind them.</w:t>
            </w:r>
          </w:p>
        </w:tc>
      </w:tr>
    </w:tbl>
    <w:p w:rsidR="009316D7" w:rsidRDefault="009316D7">
      <w:pPr>
        <w:spacing w:after="40"/>
      </w:pPr>
    </w:p>
    <w:p w:rsidR="009316D7" w:rsidRDefault="00000000">
      <w:r>
        <w:t>The 99% point does not land on an observation: 1% of 250 is 2.5, so the threshold falls between the 3rd and 4th worst scenarios. The interpolation is done arithmetically rather than by calling a library.</w:t>
      </w:r>
    </w:p>
    <w:p w:rsidR="009316D7" w:rsidRDefault="00000000">
      <w:pPr>
        <w:spacing w:after="60"/>
        <w:ind w:left="360"/>
      </w:pPr>
      <w:r>
        <w:rPr>
          <w:rFonts w:ascii="Consolas" w:hAnsi="Consolas"/>
          <w:sz w:val="17"/>
        </w:rPr>
        <w:t>tail probability alpha  : 0.0100</w:t>
      </w:r>
    </w:p>
    <w:p w:rsidR="009316D7" w:rsidRDefault="00000000">
      <w:pPr>
        <w:spacing w:after="60"/>
        <w:ind w:left="360"/>
      </w:pPr>
      <w:r>
        <w:rPr>
          <w:rFonts w:ascii="Consolas" w:hAnsi="Consolas"/>
          <w:sz w:val="17"/>
        </w:rPr>
        <w:t>fractional rank         : (250 - 1) x 0.0100 = 2.4900</w:t>
      </w:r>
    </w:p>
    <w:p w:rsidR="009316D7" w:rsidRDefault="00000000">
      <w:pPr>
        <w:spacing w:after="60"/>
        <w:ind w:left="360"/>
      </w:pPr>
      <w:r>
        <w:rPr>
          <w:rFonts w:ascii="Consolas" w:hAnsi="Consolas"/>
          <w:sz w:val="17"/>
        </w:rPr>
        <w:t>lower order statistic   : index 2 = -2.462080  (2023-11-14, +1.940%)</w:t>
      </w:r>
    </w:p>
    <w:p w:rsidR="009316D7" w:rsidRDefault="00000000">
      <w:pPr>
        <w:spacing w:after="60"/>
        <w:ind w:left="360"/>
      </w:pPr>
      <w:r>
        <w:rPr>
          <w:rFonts w:ascii="Consolas" w:hAnsi="Consolas"/>
          <w:sz w:val="17"/>
        </w:rPr>
        <w:t>upper order statistic   : index 3 = -2.435070  (2023-11-02, +1.912%)</w:t>
      </w:r>
    </w:p>
    <w:p w:rsidR="009316D7" w:rsidRDefault="00000000">
      <w:pPr>
        <w:spacing w:after="60"/>
        <w:ind w:left="360"/>
      </w:pPr>
      <w:r>
        <w:rPr>
          <w:rFonts w:ascii="Consolas" w:hAnsi="Consolas"/>
          <w:sz w:val="17"/>
        </w:rPr>
        <w:t>interpolation weight    : 2.4900 - 2 = 0.4900</w:t>
      </w:r>
    </w:p>
    <w:p w:rsidR="009316D7" w:rsidRDefault="00000000">
      <w:pPr>
        <w:spacing w:after="60"/>
        <w:ind w:left="360"/>
      </w:pPr>
      <w:r>
        <w:rPr>
          <w:rFonts w:ascii="Consolas" w:hAnsi="Consolas"/>
          <w:sz w:val="17"/>
        </w:rPr>
        <w:t>blended quantile        : -2.462080 + 0.4900 x 0.027010 = -2.448845</w:t>
      </w:r>
    </w:p>
    <w:p w:rsidR="009316D7" w:rsidRDefault="009316D7">
      <w:pPr>
        <w:spacing w:after="40"/>
      </w:pPr>
    </w:p>
    <w:tbl>
      <w:tblPr>
        <w:tblStyle w:val="LightGrid-Accent1"/>
        <w:tblW w:w="0" w:type="auto"/>
        <w:jc w:val="center"/>
        <w:tblLayout w:type="fixed"/>
        <w:tblLook w:val="04A0" w:firstRow="1" w:lastRow="0" w:firstColumn="1" w:lastColumn="0" w:noHBand="0" w:noVBand="1"/>
      </w:tblPr>
      <w:tblGrid>
        <w:gridCol w:w="2232"/>
        <w:gridCol w:w="2088"/>
        <w:gridCol w:w="5040"/>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r>
              <w:rPr>
                <w:sz w:val="17"/>
              </w:rPr>
              <w:t>Result</w:t>
            </w:r>
          </w:p>
        </w:tc>
        <w:tc>
          <w:tcPr>
            <w:tcW w:w="208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Value</w:t>
            </w:r>
          </w:p>
        </w:tc>
        <w:tc>
          <w:tcPr>
            <w:tcW w:w="5040"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Note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99% one-day VaR</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$2.4488</w:t>
            </w:r>
          </w:p>
        </w:tc>
        <w:tc>
          <w:tcPr>
            <w:tcW w:w="504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36.89% of position value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Expected shortfall</w:t>
            </w:r>
          </w:p>
        </w:tc>
        <w:tc>
          <w:tcPr>
            <w:tcW w:w="20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$2.5805</w:t>
            </w:r>
          </w:p>
        </w:tc>
        <w:tc>
          <w:tcPr>
            <w:tcW w:w="5040"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Mean of the 3 breaching scenarios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Worst scenario</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$2.7719 loss</w:t>
            </w:r>
          </w:p>
        </w:tc>
        <w:tc>
          <w:tcPr>
            <w:tcW w:w="504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2023-01-06, a +2.283% move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Stress window (2020)</w:t>
            </w:r>
          </w:p>
        </w:tc>
        <w:tc>
          <w:tcPr>
            <w:tcW w:w="208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$4.9321</w:t>
            </w:r>
          </w:p>
        </w:tc>
        <w:tc>
          <w:tcPr>
            <w:tcW w:w="5040"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2.0x the baseline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32" w:type="dxa"/>
          </w:tcPr>
          <w:p w:rsidR="009316D7" w:rsidRDefault="00000000">
            <w:pPr>
              <w:spacing w:after="20"/>
            </w:pPr>
            <w:r>
              <w:rPr>
                <w:sz w:val="17"/>
              </w:rPr>
              <w:t>NumPy cross-check</w:t>
            </w:r>
          </w:p>
        </w:tc>
        <w:tc>
          <w:tcPr>
            <w:tcW w:w="208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Agrees to 0.000e+00</w:t>
            </w:r>
          </w:p>
        </w:tc>
        <w:tc>
          <w:tcPr>
            <w:tcW w:w="5040"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Same rank definition, so it confirms the arithmetic</w:t>
            </w:r>
          </w:p>
        </w:tc>
      </w:tr>
    </w:tbl>
    <w:p w:rsidR="009316D7" w:rsidRDefault="00000000">
      <w:r>
        <w:t>Sign convention, stated once and used everywhere: VaR and expected shortfall are reported as positive loss magnitudes. The underlying quantile keeps its natural sign and is negated once, at the point of reporting.</w:t>
      </w:r>
    </w:p>
    <w:p w:rsidR="009316D7" w:rsidRDefault="00000000">
      <w:r>
        <w:t xml:space="preserve">The filing's wording does not fully pin down the calculation. "Linear interpolation to the 99% threshold" still leaves open where in index space the 99% point sits, and the conventions disagree: (N-1)*alpha gives 2.4488, N*alpha gives 2.4486, and (N+1)*alpha-1 gives 2.4844. The spread is </w:t>
      </w:r>
      <w:r>
        <w:rPr>
          <w:b/>
        </w:rPr>
        <w:t>$0.0358 on a $2.4488 VaR, 1.46%</w:t>
      </w:r>
      <w:r>
        <w:t>, which bounds how precisely the wording can be reproduced at all.</w:t>
      </w:r>
    </w:p>
    <w:p w:rsidR="009316D7" w:rsidRDefault="00000000">
      <w:pPr>
        <w:jc w:val="center"/>
      </w:pPr>
      <w:r>
        <w:rPr>
          <w:noProof/>
        </w:rPr>
        <w:lastRenderedPageBreak/>
        <w:drawing>
          <wp:inline distT="0" distB="0" distL="0" distR="0">
            <wp:extent cx="5852160" cy="345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_distribution.png"/>
                    <pic:cNvPicPr/>
                  </pic:nvPicPr>
                  <pic:blipFill>
                    <a:blip r:embed="rId13"/>
                    <a:stretch>
                      <a:fillRect/>
                    </a:stretch>
                  </pic:blipFill>
                  <pic:spPr>
                    <a:xfrm>
                      <a:off x="0" y="0"/>
                      <a:ext cx="5852160" cy="3458095"/>
                    </a:xfrm>
                    <a:prstGeom prst="rect">
                      <a:avLst/>
                    </a:prstGeom>
                  </pic:spPr>
                </pic:pic>
              </a:graphicData>
            </a:graphic>
          </wp:inline>
        </w:drawing>
      </w:r>
    </w:p>
    <w:p w:rsidR="009316D7" w:rsidRDefault="00000000">
      <w:pPr>
        <w:spacing w:after="200"/>
        <w:jc w:val="center"/>
      </w:pPr>
      <w:r>
        <w:rPr>
          <w:i/>
          <w:color w:val="666666"/>
          <w:sz w:val="17"/>
        </w:rPr>
        <w:t>pnl_distribution.png — the 250 scenario P&amp;Ls with the VaR threshold marked; the right-skew is gamma</w:t>
      </w:r>
    </w:p>
    <w:p w:rsidR="009316D7" w:rsidRDefault="00000000">
      <w:pPr>
        <w:jc w:val="center"/>
      </w:pPr>
      <w:r>
        <w:rPr>
          <w:noProof/>
        </w:rPr>
        <w:drawing>
          <wp:inline distT="0" distB="0" distL="0" distR="0">
            <wp:extent cx="5852160" cy="3169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_timeseries.png"/>
                    <pic:cNvPicPr/>
                  </pic:nvPicPr>
                  <pic:blipFill>
                    <a:blip r:embed="rId14"/>
                    <a:stretch>
                      <a:fillRect/>
                    </a:stretch>
                  </pic:blipFill>
                  <pic:spPr>
                    <a:xfrm>
                      <a:off x="0" y="0"/>
                      <a:ext cx="5852160" cy="3169920"/>
                    </a:xfrm>
                    <a:prstGeom prst="rect">
                      <a:avLst/>
                    </a:prstGeom>
                  </pic:spPr>
                </pic:pic>
              </a:graphicData>
            </a:graphic>
          </wp:inline>
        </w:drawing>
      </w:r>
    </w:p>
    <w:p w:rsidR="009316D7" w:rsidRDefault="00000000">
      <w:pPr>
        <w:spacing w:after="200"/>
        <w:jc w:val="center"/>
      </w:pPr>
      <w:r>
        <w:rPr>
          <w:i/>
          <w:color w:val="666666"/>
          <w:sz w:val="17"/>
        </w:rPr>
        <w:t>pnl_timeseries.png — each scenario's P&amp;L against the date that produced it; every tail scenario is an up day</w:t>
      </w:r>
    </w:p>
    <w:p w:rsidR="009316D7" w:rsidRDefault="00000000">
      <w:pPr>
        <w:pStyle w:val="Heading2"/>
      </w:pPr>
      <w:r>
        <w:t>4.8  Bugs found and fixed, consolidated</w:t>
      </w:r>
    </w:p>
    <w:p w:rsidR="009316D7" w:rsidRDefault="00000000">
      <w:r>
        <w:t>Every defect caught during the build, in the order encountered. Two of them were errors in my own reasoning, corrected after checking against numbers.</w:t>
      </w:r>
    </w:p>
    <w:tbl>
      <w:tblPr>
        <w:tblStyle w:val="LightGrid-Accent1"/>
        <w:tblW w:w="0" w:type="auto"/>
        <w:jc w:val="center"/>
        <w:tblLayout w:type="fixed"/>
        <w:tblLook w:val="04A0" w:firstRow="1" w:lastRow="0" w:firstColumn="1" w:lastColumn="0" w:noHBand="0" w:noVBand="1"/>
      </w:tblPr>
      <w:tblGrid>
        <w:gridCol w:w="432"/>
        <w:gridCol w:w="1512"/>
        <w:gridCol w:w="3672"/>
        <w:gridCol w:w="3744"/>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r>
              <w:rPr>
                <w:sz w:val="17"/>
              </w:rPr>
              <w:t>#</w:t>
            </w:r>
          </w:p>
        </w:tc>
        <w:tc>
          <w:tcPr>
            <w:tcW w:w="151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Stage</w:t>
            </w:r>
          </w:p>
        </w:tc>
        <w:tc>
          <w:tcPr>
            <w:tcW w:w="367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Bug</w:t>
            </w:r>
          </w:p>
        </w:tc>
        <w:tc>
          <w:tcPr>
            <w:tcW w:w="3744"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Fix and consequence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1</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SABR calibration</w:t>
            </w:r>
          </w:p>
        </w:tc>
        <w:tc>
          <w:tcPr>
            <w:tcW w:w="367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 xml:space="preserve">alpha's upper bound did not scale with beta. At beta=0 the model is normal and alpha is an absolute </w:t>
            </w:r>
            <w:r>
              <w:rPr>
                <w:sz w:val="16"/>
              </w:rPr>
              <w:lastRenderedPageBreak/>
              <w:t>vol in dollars (~52), so a fixed bound of 5.0 made the fit throw.</w:t>
            </w:r>
          </w:p>
        </w:tc>
        <w:tc>
          <w:tcPr>
            <w:tcW w:w="37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lastRenderedPageBreak/>
              <w:t>Bound is now 5.0 * forward</w:t>
            </w:r>
            <w:r>
              <w:rPr>
                <w:b/>
                <w:sz w:val="16"/>
              </w:rPr>
              <w:t xml:space="preserve">(1-beta), seeds clipped </w:t>
            </w:r>
            <w:r>
              <w:rPr>
                <w:b/>
                <w:sz w:val="16"/>
              </w:rPr>
              <w:lastRenderedPageBreak/>
              <w:t>inside it.</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2</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SABR calibration</w:t>
            </w:r>
          </w:p>
        </w:tc>
        <w:tc>
          <w:tcPr>
            <w:tcW w:w="367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The ATM continuity check was measuring the real smile slope, not a discontinuity — it probed 0.1% from the forward where skew genuinely moves vol by 0.055 vol points.</w:t>
            </w:r>
          </w:p>
        </w:tc>
        <w:tc>
          <w:tcPr>
            <w:tcW w:w="37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Now probes within a few multiples of the tolerance and subtracts the model's own skew. Unexplained excess 4.5e-08 vol points.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3</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BAW / inversion</w:t>
            </w:r>
          </w:p>
        </w:tc>
        <w:tc>
          <w:tcPr>
            <w:tcW w:w="367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The put critical-price seed overflowed to NaN as volatility approached zero: the perpetual boundary collapses onto the strike and h1 blows up.</w:t>
            </w:r>
          </w:p>
        </w:tc>
        <w:tc>
          <w:tcPr>
            <w:tcW w:w="37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h1 clamped at zero, which is the correct limit — with no volatility the boundary is the strike.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4</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BAW / inversion</w:t>
            </w:r>
          </w:p>
        </w:tc>
        <w:tc>
          <w:tcPr>
            <w:tcW w:w="367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Newton-Raphson diverged to a negative critical price for deep ITM puts at high volatility, after which the log in d1 poisoned every later iterate.</w:t>
            </w:r>
          </w:p>
        </w:tc>
        <w:tc>
          <w:tcPr>
            <w:tcW w:w="37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Iterates clamped into the economically valid region: above K for a call, in (0, K) for a put.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5</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Phase 1 reporting</w:t>
            </w:r>
          </w:p>
        </w:tc>
        <w:tc>
          <w:tcPr>
            <w:tcW w:w="367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The reported "+0.76 vol point put/call step" was not trustworthy. Crossed quotes at strikes 477 and 478 leave a $3 hole at the crossover; extrapolating across it gives +0.21 to +0.41 depending on the fit.</w:t>
            </w:r>
          </w:p>
        </w:tc>
        <w:tc>
          <w:tcPr>
            <w:tcW w:w="37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The diagnostic now reports an extrapolation-free adjacent gap alongside the fragile one. The conclusion held; the magnitude did not.</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6</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Data loading</w:t>
            </w:r>
          </w:p>
        </w:tc>
        <w:tc>
          <w:tcPr>
            <w:tcW w:w="367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load_spy_price_history returned a cached CSV without checking it covered the requested date range. Harmless with one cache; a second cache with a different range made it a silent-wrong-data bug.</w:t>
            </w:r>
          </w:p>
        </w:tc>
        <w:tc>
          <w:tcPr>
            <w:tcW w:w="37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The cache is validated against the request and rebuilt if short.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7</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Full revaluation</w:t>
            </w:r>
          </w:p>
        </w:tc>
        <w:tc>
          <w:tcPr>
            <w:tcW w:w="367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6"/>
              </w:rPr>
              <w:t>My own error:</w:t>
            </w:r>
            <w:r>
              <w:rPr>
                <w:sz w:val="16"/>
              </w:rPr>
              <w:t xml:space="preserve"> I documented the volatility as rising when spot falls. Backwards — a rally lowers K/F and slides the strike into the steep wing, so our put's vol rises when the market rises.</w:t>
            </w:r>
          </w:p>
        </w:tc>
        <w:tc>
          <w:tcPr>
            <w:tcW w:w="37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Corrected, and the sticky-strike comparison is now printed as a table so the direction is visible rather than asserted.</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8</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Stress comparison</w:t>
            </w:r>
          </w:p>
        </w:tc>
        <w:tc>
          <w:tcPr>
            <w:tcW w:w="367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6"/>
              </w:rPr>
              <w:t>My own error:</w:t>
            </w:r>
            <w:r>
              <w:rPr>
                <w:sz w:val="16"/>
              </w:rPr>
              <w:t xml:space="preserve"> I wrote that freezing today's surface understates the stress. Also backwards — a long put is long vega and loses on rallies.</w:t>
            </w:r>
          </w:p>
        </w:tc>
        <w:tc>
          <w:tcPr>
            <w:tcW w:w="37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Corrected. Freezing the surface overstates the loss tail; the stress VaR is an upper bound.</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9</w:t>
            </w:r>
          </w:p>
        </w:tc>
        <w:tc>
          <w:tcPr>
            <w:tcW w:w="151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Figures</w:t>
            </w:r>
          </w:p>
        </w:tc>
        <w:tc>
          <w:tcPr>
            <w:tcW w:w="367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Matplotlib parsed currency as LaTeX maths. A title containing two dollar amounts silently lost both signs and italicised everything between them.</w:t>
            </w:r>
          </w:p>
        </w:tc>
        <w:tc>
          <w:tcPr>
            <w:tcW w:w="3744"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6"/>
              </w:rPr>
              <w:t>An escape_dollars helper applied to composed money strings.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 w:type="dxa"/>
          </w:tcPr>
          <w:p w:rsidR="009316D7" w:rsidRDefault="00000000">
            <w:pPr>
              <w:spacing w:after="20"/>
            </w:pPr>
            <w:r>
              <w:rPr>
                <w:sz w:val="16"/>
              </w:rPr>
              <w:t>10</w:t>
            </w:r>
          </w:p>
        </w:tc>
        <w:tc>
          <w:tcPr>
            <w:tcW w:w="151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Summary table</w:t>
            </w:r>
          </w:p>
        </w:tc>
        <w:tc>
          <w:tcPr>
            <w:tcW w:w="367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A row labelled "1st pctile return" was quoting the worst daily move (-2.00%) instead of the actual 1st percentile (-1.64%).</w:t>
            </w:r>
          </w:p>
        </w:tc>
        <w:tc>
          <w:tcPr>
            <w:tcW w:w="3744"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6"/>
              </w:rPr>
              <w:t>Now pulled from the same window-comparison calculation as the stress figure.</w:t>
            </w:r>
          </w:p>
        </w:tc>
      </w:tr>
    </w:tbl>
    <w:p w:rsidR="009316D7" w:rsidRDefault="00000000">
      <w:r>
        <w:br w:type="page"/>
      </w:r>
    </w:p>
    <w:p>
      <w:pPr>
        <w:pStyle w:val="Heading1"/>
      </w:pPr>
      <w:r>
        <w:t>5. Phase 9 — validating the reference date against a second source</w:t>
      </w:r>
    </w:p>
    <w:p>
      <w:r>
        <w:rPr>
          <w:b w:val="0"/>
        </w:rPr>
        <w:t xml:space="preserve">Before extending anything, the original reference date was pulled from a second vendor and run through the project's own code, unchanged. This is what licenses every later comparison: if the two sources disagreed materially on 2023-12-29, no conclusion about 2026 could be separated from the data feed. Cost: </w:t>
      </w:r>
      <w:r>
        <w:rPr>
          <w:b/>
        </w:rPr>
        <w:t>$0.0390</w:t>
      </w:r>
      <w:r>
        <w:rPr>
          <w:b w:val="0"/>
        </w:rPr>
        <w:t>.</w:t>
      </w:r>
    </w:p>
    <w:p>
      <w:r>
        <w:t>imply_forward_from_parity and baw.implied_volatility were run against Databento OPRA quotes with no modification. What came back:</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Quantity</w:t>
            </w:r>
          </w:p>
        </w:tc>
        <w:tc>
          <w:tcPr>
            <w:tcW w:type="dxa" w:w="3216"/>
          </w:tcPr>
          <w:p>
            <w:r/>
            <w:r>
              <w:rPr>
                <w:b/>
              </w:rPr>
              <w:t>Difference</w:t>
            </w:r>
          </w:p>
        </w:tc>
        <w:tc>
          <w:tcPr>
            <w:tcW w:type="dxa" w:w="3216"/>
          </w:tcPr>
          <w:p>
            <w:r/>
            <w:r>
              <w:rPr>
                <w:b/>
              </w:rPr>
              <w:t>Reading</w:t>
            </w:r>
          </w:p>
        </w:tc>
      </w:tr>
      <w:tr>
        <w:tc>
          <w:tcPr>
            <w:tcW w:type="dxa" w:w="3216"/>
          </w:tcPr>
          <w:p>
            <w:r/>
            <w:r>
              <w:t>Median mid price, 151 common strikes</w:t>
            </w:r>
          </w:p>
        </w:tc>
        <w:tc>
          <w:tcPr>
            <w:tcW w:type="dxa" w:w="3216"/>
          </w:tcPr>
          <w:p>
            <w:r/>
            <w:r>
              <w:t>$0.0000</w:t>
            </w:r>
          </w:p>
        </w:tc>
        <w:tc>
          <w:tcPr>
            <w:tcW w:type="dxa" w:w="3216"/>
          </w:tcPr>
          <w:p>
            <w:r/>
            <w:r>
              <w:t>Exact agreement at the median</w:t>
            </w:r>
          </w:p>
        </w:tc>
      </w:tr>
      <w:tr>
        <w:tc>
          <w:tcPr>
            <w:tcW w:type="dxa" w:w="3216"/>
          </w:tcPr>
          <w:p>
            <w:r/>
            <w:r>
              <w:t>Median re-implied implied vol</w:t>
            </w:r>
          </w:p>
        </w:tc>
        <w:tc>
          <w:tcPr>
            <w:tcW w:type="dxa" w:w="3216"/>
          </w:tcPr>
          <w:p>
            <w:r/>
            <w:r>
              <w:t>0.0000 vol points</w:t>
            </w:r>
          </w:p>
        </w:tc>
        <w:tc>
          <w:tcPr>
            <w:tcW w:type="dxa" w:w="3216"/>
          </w:tcPr>
          <w:p>
            <w:r/>
            <w:r>
              <w:t>Exact agreement at the median</w:t>
            </w:r>
          </w:p>
        </w:tc>
      </w:tr>
      <w:tr>
        <w:tc>
          <w:tcPr>
            <w:tcW w:type="dxa" w:w="3216"/>
          </w:tcPr>
          <w:p>
            <w:r/>
            <w:r>
              <w:t>95th percentile |IV difference|</w:t>
            </w:r>
          </w:p>
        </w:tc>
        <w:tc>
          <w:tcPr>
            <w:tcW w:type="dxa" w:w="3216"/>
          </w:tcPr>
          <w:p>
            <w:r/>
            <w:r>
              <w:t>0.2286 vol points</w:t>
            </w:r>
          </w:p>
        </w:tc>
        <w:tc>
          <w:tcPr>
            <w:tcW w:type="dxa" w:w="3216"/>
          </w:tcPr>
          <w:p>
            <w:r/>
            <w:r>
              <w:t>Tail is small too</w:t>
            </w:r>
          </w:p>
        </w:tc>
      </w:tr>
      <w:tr>
        <w:tc>
          <w:tcPr>
            <w:tcW w:type="dxa" w:w="3216"/>
          </w:tcPr>
          <w:p>
            <w:r/>
            <w:r>
              <w:t>Parity forward</w:t>
            </w:r>
          </w:p>
        </w:tc>
        <w:tc>
          <w:tcPr>
            <w:tcW w:type="dxa" w:w="3216"/>
          </w:tcPr>
          <w:p>
            <w:r/>
            <w:r>
              <w:t>−$0.0425 (0.89 bp)</w:t>
            </w:r>
          </w:p>
        </w:tc>
        <w:tc>
          <w:tcPr>
            <w:tcW w:type="dxa" w:w="3216"/>
          </w:tcPr>
          <w:p>
            <w:r/>
            <w:r>
              <w:t>$478.892 vs $478.850</w:t>
            </w:r>
          </w:p>
        </w:tc>
      </w:tr>
      <w:tr>
        <w:tc>
          <w:tcPr>
            <w:tcW w:type="dxa" w:w="3216"/>
          </w:tcPr>
          <w:p>
            <w:r/>
            <w:r>
              <w:t>Re-implied crossover gap</w:t>
            </w:r>
          </w:p>
        </w:tc>
        <w:tc>
          <w:tcPr>
            <w:tcW w:type="dxa" w:w="3216"/>
          </w:tcPr>
          <w:p>
            <w:r/>
            <w:r>
              <w:t>0.007 vol points</w:t>
            </w:r>
          </w:p>
        </w:tc>
        <w:tc>
          <w:tcPr>
            <w:tcW w:type="dxa" w:w="3216"/>
          </w:tcPr>
          <w:p>
            <w:r/>
            <w:r>
              <w:t>−0.2088 vs −0.2164</w:t>
            </w:r>
          </w:p>
        </w:tc>
      </w:tr>
      <w:tr>
        <w:tc>
          <w:tcPr>
            <w:tcW w:type="dxa" w:w="3216"/>
          </w:tcPr>
          <w:p>
            <w:r/>
            <w:r>
              <w:t>The $475 put, mid price</w:t>
            </w:r>
          </w:p>
        </w:tc>
        <w:tc>
          <w:tcPr>
            <w:tcW w:type="dxa" w:w="3216"/>
          </w:tcPr>
          <w:p>
            <w:r/>
            <w:r>
              <w:t>+$0.0700</w:t>
            </w:r>
          </w:p>
        </w:tc>
        <w:tc>
          <w:tcPr>
            <w:tcW w:type="dxa" w:w="3216"/>
          </w:tcPr>
          <w:p>
            <w:r/>
            <w:r>
              <w:t>Largest single mid difference in the sample; +0.104 vol points</w:t>
            </w:r>
          </w:p>
        </w:tc>
      </w:tr>
    </w:tbl>
    <w:p>
      <w:r>
        <w:rPr>
          <w:b w:val="0"/>
        </w:rPr>
        <w:t>The $475 put difference is worth naming because it is the contract the headline rests on, and it is the worst case in the sample rather than a typical one. Both vendors quote a three-cent spread; the gap is snapshot timing — OptionsDX stamps 16:00, Databento's bar covers 15:59–16:00.</w:t>
      </w:r>
    </w:p>
    <w:p>
      <w:r>
        <w:rPr>
          <w:b/>
        </w:rPr>
        <w:t xml:space="preserve">What it settled about the vendor. </w:t>
      </w:r>
      <w:r>
        <w:rPr>
          <w:b w:val="0"/>
        </w:rPr>
        <w:t xml:space="preserve">Phase 1 and Phase 3 had found the OptionsDX implied vols stepping </w:t>
      </w:r>
      <w:r>
        <w:rPr>
          <w:b/>
        </w:rPr>
        <w:t>+0.291 vol points the wrong way</w:t>
      </w:r>
      <w:r>
        <w:rPr>
          <w:b w:val="0"/>
        </w:rPr>
        <w:t xml:space="preserve"> across the put/call crossover — an impossible shape against a downward-sloping smile, and the reason the project re-implies its own volatilities at all. Databento does not reproduce it, and the two crossed put quotes at strikes 477 and 478 that forced those strikes out of the smile are clean and two-sided in Databento. Both were OptionsDX defects.</w:t>
      </w:r>
    </w:p>
    <w:p>
      <w:r>
        <w:rPr>
          <w:b/>
        </w:rPr>
        <w:t xml:space="preserve">What it did not excuse. </w:t>
      </w:r>
      <w:r>
        <w:rPr>
          <w:b w:val="0"/>
        </w:rPr>
        <w:t xml:space="preserve">The residual inconsistency underneath the artefact is real and appears in both sources: roughly </w:t>
      </w:r>
      <w:r>
        <w:rPr>
          <w:b/>
        </w:rPr>
        <w:t>+0.15 vol points</w:t>
      </w:r>
      <w:r>
        <w:rPr>
          <w:b w:val="0"/>
        </w:rPr>
        <w:t xml:space="preserve"> measured against a fitted wing slope, agreeing across vendors to 0.0007. The check also found that assumption #15's own figure — a −0.058 prediction from a two-point local slope — is not trustworthy: one seven-cent quote flattens that slope 5.6× and flips the residual's sign.</w:t>
      </w:r>
    </w:p>
    <w:p>
      <w:pPr>
        <w:pStyle w:val="Heading1"/>
      </w:pPr>
      <w:r>
        <w:t>6. Stages A–C — building the second dataset</w:t>
      </w:r>
    </w:p>
    <w:p>
      <w:r>
        <w:rPr>
          <w:b w:val="0"/>
        </w:rPr>
        <w:t xml:space="preserve">Summarised here; </w:t>
      </w:r>
      <w:r>
        <w:rPr>
          <w:b/>
        </w:rPr>
        <w:t>DATABENTO_EXTENSION.docx</w:t>
      </w:r>
      <w:r>
        <w:rPr>
          <w:b w:val="0"/>
        </w:rPr>
        <w:t xml:space="preserve"> covers the sourcing, the validation and every problem hit along the way in full. What matters for reading the rest of this document is what the second dataset is and how it reaches the pipeline.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Stage</w:t>
            </w:r>
          </w:p>
        </w:tc>
        <w:tc>
          <w:tcPr>
            <w:tcW w:type="dxa" w:w="3216"/>
          </w:tcPr>
          <w:p>
            <w:r/>
            <w:r>
              <w:rPr>
                <w:b/>
              </w:rPr>
              <w:t>What was done</w:t>
            </w:r>
          </w:p>
        </w:tc>
        <w:tc>
          <w:tcPr>
            <w:tcW w:type="dxa" w:w="3216"/>
          </w:tcPr>
          <w:p>
            <w:r/>
            <w:r>
              <w:rPr>
                <w:b/>
              </w:rPr>
              <w:t>Result</w:t>
            </w:r>
          </w:p>
        </w:tc>
      </w:tr>
      <w:tr>
        <w:tc>
          <w:tcPr>
            <w:tcW w:type="dxa" w:w="3216"/>
          </w:tcPr>
          <w:p>
            <w:r/>
            <w:r>
              <w:t>A</w:t>
            </w:r>
          </w:p>
        </w:tc>
        <w:tc>
          <w:tcPr>
            <w:tcW w:type="dxa" w:w="3216"/>
          </w:tcPr>
          <w:p>
            <w:r/>
            <w:r>
              <w:t>Housekeeping — raw and reshaped data folders gitignored</w:t>
            </w:r>
          </w:p>
        </w:tc>
        <w:tc>
          <w:tcPr>
            <w:tcW w:type="dxa" w:w="3216"/>
          </w:tcPr>
          <w:p>
            <w:r/>
            <w:r>
              <w:t>363 MB raw + 45 MB reshaped, none of it tracked</w:t>
            </w:r>
          </w:p>
        </w:tc>
      </w:tr>
      <w:tr>
        <w:tc>
          <w:tcPr>
            <w:tcW w:type="dxa" w:w="3216"/>
          </w:tcPr>
          <w:p>
            <w:r/>
            <w:r>
              <w:t>B</w:t>
            </w:r>
          </w:p>
        </w:tc>
        <w:tc>
          <w:tcPr>
            <w:tcW w:type="dxa" w:w="3216"/>
          </w:tcPr>
          <w:p>
            <w:r/>
            <w:r>
              <w:t>Pull, then join quotes to per-day definitions, collapse each contract's three minute bars to one EOD row, reshape into the vendor's column layout</w:t>
            </w:r>
          </w:p>
        </w:tc>
        <w:tc>
          <w:tcPr>
            <w:tcW w:type="dxa" w:w="3216"/>
          </w:tcPr>
          <w:p>
            <w:r/>
            <w:r>
              <w:t>1,880,602 rows, 353 sessions, 2025-01-02 → 2026-06-01</w:t>
            </w:r>
          </w:p>
        </w:tc>
      </w:tr>
      <w:tr>
        <w:tc>
          <w:tcPr>
            <w:tcW w:type="dxa" w:w="3216"/>
          </w:tcPr>
          <w:p>
            <w:r/>
            <w:r>
              <w:t>C</w:t>
            </w:r>
          </w:p>
        </w:tc>
        <w:tc>
          <w:tcPr>
            <w:tcW w:type="dxa" w:w="3216"/>
          </w:tcPr>
          <w:p>
            <w:r/>
            <w:r>
              <w:t>Run all phases against the new config</w:t>
            </w:r>
          </w:p>
        </w:tc>
        <w:tc>
          <w:tcPr>
            <w:tcW w:type="dxa" w:w="3216"/>
          </w:tcPr>
          <w:p>
            <w:r/>
            <w:r>
              <w:t>A complete second reference case</w:t>
            </w:r>
          </w:p>
        </w:tc>
      </w:tr>
    </w:tbl>
    <w:p>
      <w:r>
        <w:rPr>
          <w:b/>
        </w:rPr>
        <w:t xml:space="preserve">The pull. </w:t>
      </w:r>
      <w:r>
        <w:rPr>
          <w:b w:val="0"/>
        </w:rPr>
        <w:t>A three-minute pre-close window of cbbo-1m quotes per session, DST-resolved per date rather than by a hardcoded UTC hour, plus a per-day instrument definition snapshot. UNDERLYING_LAST is SPY's observed consolidated close from EQUS.SUMMARY daily bars — OPRA carries no underlying price.</w:t>
      </w:r>
    </w:p>
    <w:p>
      <w:r>
        <w:rPr>
          <w:b/>
        </w:rPr>
        <w:t xml:space="preserve">Why the reshaped files sit where they do. </w:t>
      </w:r>
      <w:r>
        <w:rPr>
          <w:b w:val="0"/>
        </w:rPr>
        <w:t>data_loader._read_year_file looks for spy_eod_YYYY.parquet inside whatever data_dir it is handed. Writing the new dataset under the same names in a separate folder means the loader reads it with no code change at all — only data_dir moves. A single differently-named file would have forced an edit to the loader, which is exactly what the rebuild was trying to avoid.</w:t>
      </w:r>
    </w:p>
    <w:p>
      <w:r>
        <w:rPr>
          <w:b/>
        </w:rPr>
        <w:t xml:space="preserve">One column that is not what it looks like. </w:t>
      </w:r>
      <w:r>
        <w:rPr>
          <w:b w:val="0"/>
        </w:rPr>
        <w:t>C_IV and P_IV hold European Black-76 vols this project computed, not a vendor's. They exist because build_otm_smile filters on that column and Phase 0 runs before Phase 3 can replace it — a null column empties the smile and Phase 0 dies. Phase 3 overwrites them exactly as it overwrote the vendor's. The consequence is that the Phase 3 comparison means something different in each case: in 2023 it measured vendor error plus the European-to-American correction, in 2026 the correction alone.</w:t>
      </w:r>
    </w:p>
    <w:p>
      <w:pPr>
        <w:pStyle w:val="Heading1"/>
      </w:pPr>
      <w:r>
        <w:t>7. Stage D — the two cases compared</w:t>
      </w:r>
    </w:p>
    <w:p>
      <w:r>
        <w:rPr>
          <w:b w:val="0"/>
        </w:rPr>
        <w:t>The two runs disagree substantially. The question Stage D answers is whether the disagreement is the market or the plumbing — and Phase 9 is what makes that question answerable rather than rhetorical.</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r>
          </w:p>
        </w:tc>
        <w:tc>
          <w:tcPr>
            <w:tcW w:type="dxa" w:w="3216"/>
          </w:tcPr>
          <w:p>
            <w:r/>
            <w:r>
              <w:rPr>
                <w:b/>
              </w:rPr>
              <w:t>2023-12-29 (OptionsDX)</w:t>
            </w:r>
          </w:p>
        </w:tc>
        <w:tc>
          <w:tcPr>
            <w:tcW w:type="dxa" w:w="3216"/>
          </w:tcPr>
          <w:p>
            <w:r/>
            <w:r>
              <w:rPr>
                <w:b/>
              </w:rPr>
              <w:t>2026-06-01 (Databento)</w:t>
            </w:r>
          </w:p>
        </w:tc>
      </w:tr>
      <w:tr>
        <w:tc>
          <w:tcPr>
            <w:tcW w:type="dxa" w:w="3216"/>
          </w:tcPr>
          <w:p>
            <w:r/>
            <w:r>
              <w:t>Expiry / DTE</w:t>
            </w:r>
          </w:p>
        </w:tc>
        <w:tc>
          <w:tcPr>
            <w:tcW w:type="dxa" w:w="3216"/>
          </w:tcPr>
          <w:p>
            <w:r/>
            <w:r>
              <w:t>2024-02-16 / 49d</w:t>
            </w:r>
          </w:p>
        </w:tc>
        <w:tc>
          <w:tcPr>
            <w:tcW w:type="dxa" w:w="3216"/>
          </w:tcPr>
          <w:p>
            <w:r/>
            <w:r>
              <w:t>2026-07-17 / 46d</w:t>
            </w:r>
          </w:p>
        </w:tc>
      </w:tr>
      <w:tr>
        <w:tc>
          <w:tcPr>
            <w:tcW w:type="dxa" w:w="3216"/>
          </w:tcPr>
          <w:p>
            <w:r/>
            <w:r>
              <w:t>Spot / forward</w:t>
            </w:r>
          </w:p>
        </w:tc>
        <w:tc>
          <w:tcPr>
            <w:tcW w:type="dxa" w:w="3216"/>
          </w:tcPr>
          <w:p>
            <w:r/>
            <w:r>
              <w:t>$475.31 / $478.892</w:t>
            </w:r>
          </w:p>
        </w:tc>
        <w:tc>
          <w:tcPr>
            <w:tcW w:type="dxa" w:w="3216"/>
          </w:tcPr>
          <w:p>
            <w:r/>
            <w:r>
              <w:t>$758.54 / $760.224</w:t>
            </w:r>
          </w:p>
        </w:tc>
      </w:tr>
      <w:tr>
        <w:tc>
          <w:tcPr>
            <w:tcW w:type="dxa" w:w="3216"/>
          </w:tcPr>
          <w:p>
            <w:r/>
            <w:r>
              <w:t>Risk-free r</w:t>
            </w:r>
          </w:p>
        </w:tc>
        <w:tc>
          <w:tcPr>
            <w:tcW w:type="dxa" w:w="3216"/>
          </w:tcPr>
          <w:p>
            <w:r/>
            <w:r>
              <w:t>5.4000%</w:t>
            </w:r>
          </w:p>
        </w:tc>
        <w:tc>
          <w:tcPr>
            <w:tcW w:type="dxa" w:w="3216"/>
          </w:tcPr>
          <w:p>
            <w:r/>
            <w:r>
              <w:t>3.6600%</w:t>
            </w:r>
          </w:p>
        </w:tc>
      </w:tr>
      <w:tr>
        <w:tc>
          <w:tcPr>
            <w:tcW w:type="dxa" w:w="3216"/>
          </w:tcPr>
          <w:p>
            <w:r/>
            <w:r>
              <w:t>Cost of carry b</w:t>
            </w:r>
          </w:p>
        </w:tc>
        <w:tc>
          <w:tcPr>
            <w:tcW w:type="dxa" w:w="3216"/>
          </w:tcPr>
          <w:p>
            <w:r/>
            <w:r>
              <w:t>5.5926%</w:t>
            </w:r>
          </w:p>
        </w:tc>
        <w:tc>
          <w:tcPr>
            <w:tcW w:type="dxa" w:w="3216"/>
          </w:tcPr>
          <w:p>
            <w:r/>
            <w:r>
              <w:t>1.7601%</w:t>
            </w:r>
          </w:p>
        </w:tc>
      </w:tr>
      <w:tr>
        <w:tc>
          <w:tcPr>
            <w:tcW w:type="dxa" w:w="3216"/>
          </w:tcPr>
          <w:p>
            <w:r/>
            <w:r>
              <w:t>Implied dividend yield q</w:t>
            </w:r>
          </w:p>
        </w:tc>
        <w:tc>
          <w:tcPr>
            <w:tcW w:type="dxa" w:w="3216"/>
          </w:tcPr>
          <w:p>
            <w:r/>
            <w:r>
              <w:t>−0.1926%</w:t>
            </w:r>
          </w:p>
        </w:tc>
        <w:tc>
          <w:tcPr>
            <w:tcW w:type="dxa" w:w="3216"/>
          </w:tcPr>
          <w:p>
            <w:r/>
            <w:r>
              <w:t>+1.8999%</w:t>
            </w:r>
          </w:p>
        </w:tc>
      </w:tr>
      <w:tr>
        <w:tc>
          <w:tcPr>
            <w:tcW w:type="dxa" w:w="3216"/>
          </w:tcPr>
          <w:p>
            <w:r/>
            <w:r>
              <w:t>Carry regime</w:t>
            </w:r>
          </w:p>
        </w:tc>
        <w:tc>
          <w:tcPr>
            <w:tcW w:type="dxa" w:w="3216"/>
          </w:tcPr>
          <w:p>
            <w:r/>
            <w:r>
              <w:t>b &gt; r</w:t>
            </w:r>
          </w:p>
        </w:tc>
        <w:tc>
          <w:tcPr>
            <w:tcW w:type="dxa" w:w="3216"/>
          </w:tcPr>
          <w:p>
            <w:r/>
            <w:r>
              <w:t>b &lt; r</w:t>
            </w:r>
          </w:p>
        </w:tc>
      </w:tr>
      <w:tr>
        <w:tc>
          <w:tcPr>
            <w:tcW w:type="dxa" w:w="3216"/>
          </w:tcPr>
          <w:p>
            <w:r/>
            <w:r>
              <w:t>SABR alpha / rho / nu</w:t>
            </w:r>
          </w:p>
        </w:tc>
        <w:tc>
          <w:tcPr>
            <w:tcW w:type="dxa" w:w="3216"/>
          </w:tcPr>
          <w:p>
            <w:r/>
            <w:r>
              <w:t>0.109797 / −0.524225 / 2.132810</w:t>
            </w:r>
          </w:p>
        </w:tc>
        <w:tc>
          <w:tcPr>
            <w:tcW w:type="dxa" w:w="3216"/>
          </w:tcPr>
          <w:p>
            <w:r/>
            <w:r>
              <w:t>0.136311 / −0.633712 / 2.201313</w:t>
            </w:r>
          </w:p>
        </w:tc>
      </w:tr>
      <w:tr>
        <w:tc>
          <w:tcPr>
            <w:tcW w:type="dxa" w:w="3216"/>
          </w:tcPr>
          <w:p>
            <w:r/>
            <w:r>
              <w:t>Fit RMSE</w:t>
            </w:r>
          </w:p>
        </w:tc>
        <w:tc>
          <w:tcPr>
            <w:tcW w:type="dxa" w:w="3216"/>
          </w:tcPr>
          <w:p>
            <w:r/>
            <w:r>
              <w:t>0.2346 vol points</w:t>
            </w:r>
          </w:p>
        </w:tc>
        <w:tc>
          <w:tcPr>
            <w:tcW w:type="dxa" w:w="3216"/>
          </w:tcPr>
          <w:p>
            <w:r/>
            <w:r>
              <w:t>0.2080 vol points</w:t>
            </w:r>
          </w:p>
        </w:tc>
      </w:tr>
      <w:tr>
        <w:tc>
          <w:tcPr>
            <w:tcW w:type="dxa" w:w="3216"/>
          </w:tcPr>
          <w:p>
            <w:r/>
            <w:r>
              <w:t>Realised vol in window</w:t>
            </w:r>
          </w:p>
        </w:tc>
        <w:tc>
          <w:tcPr>
            <w:tcW w:type="dxa" w:w="3216"/>
          </w:tcPr>
          <w:p>
            <w:r/>
            <w:r>
              <w:t>13.14%</w:t>
            </w:r>
          </w:p>
        </w:tc>
        <w:tc>
          <w:tcPr>
            <w:tcW w:type="dxa" w:w="3216"/>
          </w:tcPr>
          <w:p>
            <w:r/>
            <w:r>
              <w:t>11.88%</w:t>
            </w:r>
          </w:p>
        </w:tc>
      </w:tr>
      <w:tr>
        <w:tc>
          <w:tcPr>
            <w:tcW w:type="dxa" w:w="3216"/>
          </w:tcPr>
          <w:p>
            <w:r/>
            <w:r>
              <w:t>Excess kurtosis</w:t>
            </w:r>
          </w:p>
        </w:tc>
        <w:tc>
          <w:tcPr>
            <w:tcW w:type="dxa" w:w="3216"/>
          </w:tcPr>
          <w:p>
            <w:r/>
            <w:r>
              <w:t>−0.178</w:t>
            </w:r>
          </w:p>
        </w:tc>
        <w:tc>
          <w:tcPr>
            <w:tcW w:type="dxa" w:w="3216"/>
          </w:tcPr>
          <w:p>
            <w:r/>
            <w:r>
              <w:t>+1.569</w:t>
            </w:r>
          </w:p>
        </w:tc>
      </w:tr>
      <w:tr>
        <w:tc>
          <w:tcPr>
            <w:tcW w:type="dxa" w:w="3216"/>
          </w:tcPr>
          <w:p>
            <w:r/>
            <w:r>
              <w:t>Position</w:t>
            </w:r>
          </w:p>
        </w:tc>
        <w:tc>
          <w:tcPr>
            <w:tcW w:type="dxa" w:w="3216"/>
          </w:tcPr>
          <w:p>
            <w:r/>
            <w:r>
              <w:t>+1 × $475 put</w:t>
            </w:r>
          </w:p>
        </w:tc>
        <w:tc>
          <w:tcPr>
            <w:tcW w:type="dxa" w:w="3216"/>
          </w:tcPr>
          <w:p>
            <w:r/>
            <w:r>
              <w:t>+1 × $759 put</w:t>
            </w:r>
          </w:p>
        </w:tc>
      </w:tr>
      <w:tr>
        <w:tc>
          <w:tcPr>
            <w:tcW w:type="dxa" w:w="3216"/>
          </w:tcPr>
          <w:p>
            <w:r/>
            <w:r>
              <w:t>Position value</w:t>
            </w:r>
          </w:p>
        </w:tc>
        <w:tc>
          <w:tcPr>
            <w:tcW w:type="dxa" w:w="3216"/>
          </w:tcPr>
          <w:p>
            <w:r/>
            <w:r>
              <w:t>$6.6391</w:t>
            </w:r>
          </w:p>
        </w:tc>
        <w:tc>
          <w:tcPr>
            <w:tcW w:type="dxa" w:w="3216"/>
          </w:tcPr>
          <w:p>
            <w:r/>
            <w:r>
              <w:t>$14.4221</w:t>
            </w:r>
          </w:p>
        </w:tc>
      </w:tr>
      <w:tr>
        <w:tc>
          <w:tcPr>
            <w:tcW w:type="dxa" w:w="3216"/>
          </w:tcPr>
          <w:p>
            <w:r/>
            <w:r>
              <w:t>99% one-day VaR</w:t>
            </w:r>
          </w:p>
        </w:tc>
        <w:tc>
          <w:tcPr>
            <w:tcW w:type="dxa" w:w="3216"/>
          </w:tcPr>
          <w:p>
            <w:r/>
            <w:r>
              <w:t>$2.4488  (36.89%)</w:t>
            </w:r>
          </w:p>
        </w:tc>
        <w:tc>
          <w:tcPr>
            <w:tcW w:type="dxa" w:w="3216"/>
          </w:tcPr>
          <w:p>
            <w:r/>
            <w:r>
              <w:t>$4.1216  (28.58%)</w:t>
            </w:r>
          </w:p>
        </w:tc>
      </w:tr>
      <w:tr>
        <w:tc>
          <w:tcPr>
            <w:tcW w:type="dxa" w:w="3216"/>
          </w:tcPr>
          <w:p>
            <w:r/>
            <w:r>
              <w:t>Expected shortfall</w:t>
            </w:r>
          </w:p>
        </w:tc>
        <w:tc>
          <w:tcPr>
            <w:tcW w:type="dxa" w:w="3216"/>
          </w:tcPr>
          <w:p>
            <w:r/>
            <w:r>
              <w:t>$2.5805</w:t>
            </w:r>
          </w:p>
        </w:tc>
        <w:tc>
          <w:tcPr>
            <w:tcW w:type="dxa" w:w="3216"/>
          </w:tcPr>
          <w:p>
            <w:r/>
            <w:r>
              <w:t>$5.3674</w:t>
            </w:r>
          </w:p>
        </w:tc>
      </w:tr>
      <w:tr>
        <w:tc>
          <w:tcPr>
            <w:tcW w:type="dxa" w:w="3216"/>
          </w:tcPr>
          <w:p>
            <w:r/>
            <w:r>
              <w:t>Worst scenario P&amp;L</w:t>
            </w:r>
          </w:p>
        </w:tc>
        <w:tc>
          <w:tcPr>
            <w:tcW w:type="dxa" w:w="3216"/>
          </w:tcPr>
          <w:p>
            <w:r/>
            <w:r>
              <w:t>−$2.7719</w:t>
            </w:r>
          </w:p>
        </w:tc>
        <w:tc>
          <w:tcPr>
            <w:tcW w:type="dxa" w:w="3216"/>
          </w:tcPr>
          <w:p>
            <w:r/>
            <w:r>
              <w:t>−$6.0986</w:t>
            </w:r>
          </w:p>
        </w:tc>
      </w:tr>
      <w:tr>
        <w:tc>
          <w:tcPr>
            <w:tcW w:type="dxa" w:w="3216"/>
          </w:tcPr>
          <w:p>
            <w:r/>
            <w:r>
              <w:t>Stress-window VaR</w:t>
            </w:r>
          </w:p>
        </w:tc>
        <w:tc>
          <w:tcPr>
            <w:tcW w:type="dxa" w:w="3216"/>
          </w:tcPr>
          <w:p>
            <w:r/>
            <w:r>
              <w:t>$4.9321  (2.01×)</w:t>
            </w:r>
          </w:p>
        </w:tc>
        <w:tc>
          <w:tcPr>
            <w:tcW w:type="dxa" w:w="3216"/>
          </w:tcPr>
          <w:p>
            <w:r/>
            <w:r>
              <w:t>$5.2226  (1.27×)</w:t>
            </w:r>
          </w:p>
        </w:tc>
      </w:tr>
    </w:tbl>
    <w:p>
      <w:r>
        <w:rPr>
          <w:b/>
        </w:rPr>
        <w:t>The dollar VaRs are not comparable</w:t>
      </w:r>
      <w:r>
        <w:rPr>
          <w:b w:val="0"/>
        </w:rPr>
        <w:t xml:space="preserve"> — different strikes on a different underlying level, and marginally different moneyness sign (the 2023 put is 0.065% out of the money, the 2026 put 0.061% in). VaR as a percentage of position value is the like-for-like number, and by it the second case is the </w:t>
      </w:r>
      <w:r>
        <w:rPr>
          <w:b/>
        </w:rPr>
        <w:t>less</w:t>
      </w:r>
      <w:r>
        <w:rPr>
          <w:b w:val="0"/>
        </w:rPr>
        <w:t xml:space="preserve"> risky of the two.</w:t>
      </w:r>
    </w:p>
    <w:p>
      <w:pPr>
        <w:pStyle w:val="Heading2"/>
      </w:pPr>
      <w:r>
        <w:t>Differences that are genuinely the market</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What changed</w:t>
            </w:r>
          </w:p>
        </w:tc>
        <w:tc>
          <w:tcPr>
            <w:tcW w:type="dxa" w:w="4824"/>
          </w:tcPr>
          <w:p>
            <w:r/>
            <w:r>
              <w:rPr>
                <w:b/>
              </w:rPr>
              <w:t>Evidence it is real</w:t>
            </w:r>
          </w:p>
        </w:tc>
      </w:tr>
      <w:tr>
        <w:tc>
          <w:tcPr>
            <w:tcW w:type="dxa" w:w="4824"/>
          </w:tcPr>
          <w:p>
            <w:r/>
            <w:r>
              <w:t>The carry regime flips, b &gt; r to b &lt; r</w:t>
            </w:r>
          </w:p>
        </w:tc>
        <w:tc>
          <w:tcPr>
            <w:tcW w:type="dxa" w:w="4824"/>
          </w:tcPr>
          <w:p>
            <w:r/>
            <w:r>
              <w:t>A calendar fact. No SPY ex-dividend date falls between 2023-12-29 and 2024-02-16; one falls between 2026-06-01 and 2026-07-17. The implied yield of +1.90% annualised is $1.82 of dividend on a $758.54 underlying — SPY's actual quarterly payout. It falls out of put-call parity; nothing in the calibration forces it.</w:t>
            </w:r>
          </w:p>
        </w:tc>
      </w:tr>
      <w:tr>
        <w:tc>
          <w:tcPr>
            <w:tcW w:type="dxa" w:w="4824"/>
          </w:tcPr>
          <w:p>
            <w:r/>
            <w:r>
              <w:t>Rates fell, 5.40% → 3.66%</w:t>
            </w:r>
          </w:p>
        </w:tc>
        <w:tc>
          <w:tcPr>
            <w:tcW w:type="dxa" w:w="4824"/>
          </w:tcPr>
          <w:p>
            <w:r/>
            <w:r>
              <w:t>Pinned externally from the same FRED DGS3MO series in both cases.</w:t>
            </w:r>
          </w:p>
        </w:tc>
      </w:tr>
      <w:tr>
        <w:tc>
          <w:tcPr>
            <w:tcW w:type="dxa" w:w="4824"/>
          </w:tcPr>
          <w:p>
            <w:r/>
            <w:r>
              <w:t>Skew steepened, rho −0.524 → −0.634</w:t>
            </w:r>
          </w:p>
        </w:tc>
        <w:tc>
          <w:tcPr>
            <w:tcW w:type="dxa" w:w="4824"/>
          </w:tcPr>
          <w:p>
            <w:r/>
            <w:r>
              <w:t>Implied vol rose 11.76% → 13.94% against LOWER realised vol in the window, 13.14% → 11.88%. A higher implied on a calmer realised window is a real feature of the surface.</w:t>
            </w:r>
          </w:p>
        </w:tc>
      </w:tr>
      <w:tr>
        <w:tc>
          <w:tcPr>
            <w:tcW w:type="dxa" w:w="4824"/>
          </w:tcPr>
          <w:p>
            <w:r/>
            <w:r>
              <w:t>Tails changed shape, excess kurtosis −0.18 → +1.57</w:t>
            </w:r>
          </w:p>
        </w:tc>
        <w:tc>
          <w:tcPr>
            <w:tcW w:type="dxa" w:w="4824"/>
          </w:tcPr>
          <w:p>
            <w:r/>
            <w:r>
              <w:t>The sharpest regime difference. Both windows are calm by volatility; the second is calm in a fat-tailed way.</w:t>
            </w:r>
          </w:p>
        </w:tc>
      </w:tr>
      <w:tr>
        <w:tc>
          <w:tcPr>
            <w:tcW w:type="dxa" w:w="4824"/>
          </w:tcPr>
          <w:p>
            <w:r/>
            <w:r>
              <w:t>Stress ratio 2.01× → 1.27×</w:t>
            </w:r>
          </w:p>
        </w:tc>
        <w:tc>
          <w:tcPr>
            <w:tcW w:type="dxa" w:w="4824"/>
          </w:tcPr>
          <w:p>
            <w:r/>
            <w:r>
              <w:t>The dataset, not the method. The original could reach 2020; the Databento pull spans 17 months, so its harshest window contains April 2025 — a smaller event, not a different behaviour.</w:t>
            </w:r>
          </w:p>
        </w:tc>
      </w:tr>
    </w:tbl>
    <w:p>
      <w:pPr>
        <w:pStyle w:val="Heading2"/>
      </w:pPr>
      <w:r>
        <w:t>Differences that are the data source — bounded, and small</w:t>
      </w:r>
    </w:p>
    <w:p>
      <w:r>
        <w:rPr>
          <w:b w:val="0"/>
        </w:rPr>
        <w:t xml:space="preserve">Phase 9 measured this directly rather than arguing it. Median mid price difference </w:t>
      </w:r>
      <w:r>
        <w:rPr>
          <w:b/>
        </w:rPr>
        <w:t>$0.0000</w:t>
      </w:r>
      <w:r>
        <w:rPr>
          <w:b w:val="0"/>
        </w:rPr>
        <w:t xml:space="preserve"> across 151 common strikes, median implied-vol difference </w:t>
      </w:r>
      <w:r>
        <w:rPr>
          <w:b/>
        </w:rPr>
        <w:t>0.0000 vol points</w:t>
      </w:r>
      <w:r>
        <w:rPr>
          <w:b w:val="0"/>
        </w:rPr>
        <w:t xml:space="preserve">, parity forward apart by </w:t>
      </w:r>
      <w:r>
        <w:rPr>
          <w:b/>
        </w:rPr>
        <w:t>0.89 bp</w:t>
      </w:r>
      <w:r>
        <w:rPr>
          <w:b w:val="0"/>
        </w:rPr>
        <w:t>. Stage B removed one further doubt: UNDERLYING_LAST is an observed close, not a derived quantity, and where the derivation was checked against it the two agreed to a median $0.16 with a return correlation of 0.9954.</w:t>
      </w:r>
    </w:p>
    <w:p>
      <w:r>
        <w:rPr>
          <w:b w:val="0"/>
        </w:rPr>
        <w:t xml:space="preserve">Set against differences of 68% in dollar VaR and 8.3 percentage points in VaR-to-position, a forward agreeing to 0.89 bp and IVs whose median difference is exactly zero cannot be carrying the result. </w:t>
      </w:r>
      <w:r>
        <w:rPr>
          <w:b/>
        </w:rPr>
        <w:t>The two cases differ because the market differed.</w:t>
      </w:r>
    </w:p>
    <w:p>
      <w:pPr>
        <w:pStyle w:val="Heading2"/>
      </w:pPr>
      <w:r>
        <w:t>What the second case establishes</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Claim</w:t>
            </w:r>
          </w:p>
        </w:tc>
        <w:tc>
          <w:tcPr>
            <w:tcW w:type="dxa" w:w="4824"/>
          </w:tcPr>
          <w:p>
            <w:r/>
            <w:r>
              <w:rPr>
                <w:b/>
              </w:rPr>
              <w:t>Support</w:t>
            </w:r>
          </w:p>
        </w:tc>
      </w:tr>
      <w:tr>
        <w:tc>
          <w:tcPr>
            <w:tcW w:type="dxa" w:w="4824"/>
          </w:tcPr>
          <w:p>
            <w:r/>
            <w:r>
              <w:t>The methodology transfers</w:t>
            </w:r>
          </w:p>
        </w:tc>
        <w:tc>
          <w:tcPr>
            <w:tcW w:type="dxa" w:w="4824"/>
          </w:tcPr>
          <w:p>
            <w:r/>
            <w:r>
              <w:t>sabr.py, baw.py, historical_sim.py and var.py ran completely unchanged. Only configs/ and the dataset moved.</w:t>
            </w:r>
          </w:p>
        </w:tc>
      </w:tr>
      <w:tr>
        <w:tc>
          <w:tcPr>
            <w:tcW w:type="dxa" w:w="4824"/>
          </w:tcPr>
          <w:p>
            <w:r/>
            <w:r>
              <w:t>The pipeline is not overfitted to its original inputs</w:t>
            </w:r>
          </w:p>
        </w:tc>
        <w:tc>
          <w:tcPr>
            <w:tcW w:type="dxa" w:w="4824"/>
          </w:tcPr>
          <w:p>
            <w:r/>
            <w:r>
              <w:t>All 197 out-of-the-money strikes inverted, none failed. The SABR fit is better on the new data: RMSE 0.2080 vs 0.2346.</w:t>
            </w:r>
          </w:p>
        </w:tc>
      </w:tr>
      <w:tr>
        <w:tc>
          <w:tcPr>
            <w:tcW w:type="dxa" w:w="4824"/>
          </w:tcPr>
          <w:p>
            <w:r/>
            <w:r>
              <w:t>The Phase 4 lookback warning generalises</w:t>
            </w:r>
          </w:p>
        </w:tc>
        <w:tc>
          <w:tcPr>
            <w:tcW w:type="dxa" w:w="4824"/>
          </w:tcPr>
          <w:p>
            <w:r/>
            <w:r>
              <w:t>Demonstrated inside ONE continuous dataset: the April 2025 selloff (−5.85%, then +10.50%) sits at sessions 63–68, is inside the window for reference dates up to about 2026-03, and has aged out by 2026-06-01 — the 1st-percentile return halving from −3.56% to −1.75%.</w:t>
            </w:r>
          </w:p>
        </w:tc>
      </w:tr>
      <w:tr>
        <w:tc>
          <w:tcPr>
            <w:tcW w:type="dxa" w:w="4824"/>
          </w:tcPr>
          <w:p>
            <w:r/>
            <w:r>
              <w:t>The vendor's crossover kink was the vendor's</w:t>
            </w:r>
          </w:p>
        </w:tc>
        <w:tc>
          <w:tcPr>
            <w:tcW w:type="dxa" w:w="4824"/>
          </w:tcPr>
          <w:p>
            <w:r/>
            <w:r>
              <w:t>In 2026 both the pre- and post-correction gaps carry the correct negative sign. An internally consistent starting point does not produce the kink.</w:t>
            </w:r>
          </w:p>
        </w:tc>
      </w:tr>
    </w:tbl>
    <w:p>
      <w:pPr>
        <w:pStyle w:val="Heading2"/>
      </w:pPr>
      <w:r>
        <w:t>What it does not establish</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Limit</w:t>
            </w:r>
          </w:p>
        </w:tc>
        <w:tc>
          <w:tcPr>
            <w:tcW w:type="dxa" w:w="4824"/>
          </w:tcPr>
          <w:p>
            <w:r/>
            <w:r>
              <w:rPr>
                <w:b/>
              </w:rPr>
              <w:t>Detail</w:t>
            </w:r>
          </w:p>
        </w:tc>
      </w:tr>
      <w:tr>
        <w:tc>
          <w:tcPr>
            <w:tcW w:type="dxa" w:w="4824"/>
          </w:tcPr>
          <w:p>
            <w:r/>
            <w:r>
              <w:t>One position each</w:t>
            </w:r>
          </w:p>
        </w:tc>
        <w:tc>
          <w:tcPr>
            <w:tcW w:type="dxa" w:w="4824"/>
          </w:tcPr>
          <w:p>
            <w:r/>
            <w:r>
              <w:t>Two single options, not portfolios. Phase 7 remains skipped.</w:t>
            </w:r>
          </w:p>
        </w:tc>
      </w:tr>
      <w:tr>
        <w:tc>
          <w:tcPr>
            <w:tcW w:type="dxa" w:w="4824"/>
          </w:tcPr>
          <w:p>
            <w:r/>
            <w:r>
              <w:t>The vol surface is still frozen in both runs</w:t>
            </w:r>
          </w:p>
        </w:tc>
        <w:tc>
          <w:tcPr>
            <w:tcW w:type="dxa" w:w="4824"/>
          </w:tcPr>
          <w:p>
            <w:r/>
            <w:r>
              <w:t>Scenario P&amp;L carries spot risk and the smile's response to spot, no independent volatility risk.</w:t>
            </w:r>
          </w:p>
        </w:tc>
      </w:tr>
      <w:tr>
        <w:tc>
          <w:tcPr>
            <w:tcW w:type="dxa" w:w="4824"/>
          </w:tcPr>
          <w:p>
            <w:r/>
            <w:r>
              <w:t>The stress windows are not comparable to each other</w:t>
            </w:r>
          </w:p>
        </w:tc>
        <w:tc>
          <w:tcPr>
            <w:tcW w:type="dxa" w:w="4824"/>
          </w:tcPr>
          <w:p>
            <w:r/>
            <w:r>
              <w:t>2020 and April 2025 are different magnitudes of event; 2.01× and 1.27× should not be read against one another.</w:t>
            </w:r>
          </w:p>
        </w:tc>
      </w:tr>
      <w:tr>
        <w:tc>
          <w:tcPr>
            <w:tcW w:type="dxa" w:w="4824"/>
          </w:tcPr>
          <w:p>
            <w:r/>
            <w:r>
              <w:t>The 2026 case has no external price benchmark</w:t>
            </w:r>
          </w:p>
        </w:tc>
        <w:tc>
          <w:tcPr>
            <w:tcW w:type="dxa" w:w="4824"/>
          </w:tcPr>
          <w:p>
            <w:r/>
            <w:r>
              <w:t>2023-12-29 can be checked against two sources. 2026-06-01 rests on one, cross-validated only in the sense that the source was verified on a different date.</w:t>
            </w:r>
          </w:p>
        </w:tc>
      </w:tr>
    </w:tbl>
    <w:p>
      <w:pPr>
        <w:pStyle w:val="Heading2"/>
      </w:pPr>
      <w:r>
        <w:t>The two cases at a glance</w:t>
      </w:r>
    </w:p>
    <w:p>
      <w:pPr>
        <w:jc w:val="center"/>
      </w:pPr>
      <w:r>
        <w:drawing>
          <wp:inline xmlns:a="http://schemas.openxmlformats.org/drawingml/2006/main" xmlns:pic="http://schemas.openxmlformats.org/drawingml/2006/picture">
            <wp:extent cx="5852160" cy="7011338"/>
            <wp:docPr id="10" name="Picture 10"/>
            <wp:cNvGraphicFramePr>
              <a:graphicFrameLocks noChangeAspect="1"/>
            </wp:cNvGraphicFramePr>
            <a:graphic>
              <a:graphicData uri="http://schemas.openxmlformats.org/drawingml/2006/picture">
                <pic:pic>
                  <pic:nvPicPr>
                    <pic:cNvPr id="0" name="summary_table.png"/>
                    <pic:cNvPicPr/>
                  </pic:nvPicPr>
                  <pic:blipFill>
                    <a:blip r:embed="rId17"/>
                    <a:stretch>
                      <a:fillRect/>
                    </a:stretch>
                  </pic:blipFill>
                  <pic:spPr>
                    <a:xfrm>
                      <a:off x="0" y="0"/>
                      <a:ext cx="5852160" cy="7011338"/>
                    </a:xfrm>
                    <a:prstGeom prst="rect"/>
                  </pic:spPr>
                </pic:pic>
              </a:graphicData>
            </a:graphic>
          </wp:inline>
        </w:drawing>
      </w:r>
    </w:p>
    <w:p>
      <w:pPr>
        <w:jc w:val="center"/>
      </w:pPr>
      <w:r>
        <w:rPr>
          <w:i/>
          <w:sz w:val="18"/>
        </w:rPr>
        <w:t>summary_table.png — the 2023-12-29 case, OptionsDX-sourced</w:t>
      </w:r>
    </w:p>
    <w:p>
      <w:pPr>
        <w:jc w:val="center"/>
      </w:pPr>
      <w:r>
        <w:drawing>
          <wp:inline xmlns:a="http://schemas.openxmlformats.org/drawingml/2006/main" xmlns:pic="http://schemas.openxmlformats.org/drawingml/2006/picture">
            <wp:extent cx="5852160" cy="7011338"/>
            <wp:docPr id="11" name="Picture 11"/>
            <wp:cNvGraphicFramePr>
              <a:graphicFrameLocks noChangeAspect="1"/>
            </wp:cNvGraphicFramePr>
            <a:graphic>
              <a:graphicData uri="http://schemas.openxmlformats.org/drawingml/2006/picture">
                <pic:pic>
                  <pic:nvPicPr>
                    <pic:cNvPr id="0" name="summary_table.png"/>
                    <pic:cNvPicPr/>
                  </pic:nvPicPr>
                  <pic:blipFill>
                    <a:blip r:embed="rId18"/>
                    <a:stretch>
                      <a:fillRect/>
                    </a:stretch>
                  </pic:blipFill>
                  <pic:spPr>
                    <a:xfrm>
                      <a:off x="0" y="0"/>
                      <a:ext cx="5852160" cy="7011338"/>
                    </a:xfrm>
                    <a:prstGeom prst="rect"/>
                  </pic:spPr>
                </pic:pic>
              </a:graphicData>
            </a:graphic>
          </wp:inline>
        </w:drawing>
      </w:r>
    </w:p>
    <w:p>
      <w:pPr>
        <w:jc w:val="center"/>
      </w:pPr>
      <w:r>
        <w:rPr>
          <w:i/>
          <w:sz w:val="18"/>
        </w:rPr>
        <w:t>summary_table.png — the 2026-06-01 case, Databento-sourced</w:t>
      </w:r>
    </w:p>
    <w:p w:rsidR="009316D7" w:rsidRDefault="00000000">
      <w:pPr>
        <w:pStyle w:val="Heading1"/>
      </w:pPr>
      <w:r>
        <w:t>8. Complete assumptions and deviations</w:t>
      </w:r>
    </w:p>
    <w:p w:rsidR="009316D7" w:rsidRDefault="00000000">
      <w:r>
        <w:rPr>
          <w:b/>
        </w:rPr>
        <w:t>All 28 entries</w:t>
      </w:r>
      <w:r>
        <w:t xml:space="preserve"> logged across the project, transcribed from PROJECT_LOG.md. Numbering follows the log. Nothing is omitted or softened; the ones carrying a measured cost are entries 13, 15, 21 and 27.</w:t>
      </w:r>
    </w:p>
    <w:p w:rsidR="009316D7" w:rsidRDefault="00000000">
      <w:r>
        <w:rPr>
          <w:i/>
          <w:color w:val="666666"/>
          <w:sz w:val="19"/>
        </w:rPr>
        <w:t>Grouped as: Data and inputs (9), Model and pricing (8), Numerical and validation (5), Simulation, VaR and interpretation (6).</w:t>
      </w:r>
    </w:p>
    <w:p w:rsidR="009316D7" w:rsidRDefault="00000000">
      <w:pPr>
        <w:pStyle w:val="Heading2"/>
      </w:pPr>
      <w:r>
        <w:rPr>
          <w:color w:val="16354F"/>
        </w:rPr>
        <w:t>Data and inputs</w:t>
      </w:r>
    </w:p>
    <w:tbl>
      <w:tblPr>
        <w:tblStyle w:val="LightGrid-Accent1"/>
        <w:tblW w:w="0" w:type="auto"/>
        <w:jc w:val="center"/>
        <w:tblLayout w:type="fixed"/>
        <w:tblLook w:val="04A0" w:firstRow="1" w:lastRow="0" w:firstColumn="1" w:lastColumn="0" w:noHBand="0" w:noVBand="1"/>
      </w:tblPr>
      <w:tblGrid>
        <w:gridCol w:w="403"/>
        <w:gridCol w:w="1123"/>
        <w:gridCol w:w="2736"/>
        <w:gridCol w:w="2736"/>
        <w:gridCol w:w="2362"/>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r>
              <w:rPr>
                <w:sz w:val="16"/>
              </w:rPr>
              <w:t>#</w:t>
            </w:r>
          </w:p>
        </w:tc>
        <w:tc>
          <w:tcPr>
            <w:tcW w:w="1123"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What</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Why</w:t>
            </w:r>
          </w:p>
        </w:tc>
        <w:tc>
          <w:tcPr>
            <w:tcW w:w="236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Measured impact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UNDERLYING_LAST is the unadjusted SPY price, so SPY's four annual ex-dividend dates appear as spurious down-moves.</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option contracts are written on the unadjusted price, so shocking it is internally consistent; synchronicity with the quotes is worth more than removing four dips.</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~0.4% on four days a year; none inside the VaR window.</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ACT/365 day count for time to expiry.</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ACT/252 and ACT/365.25 are the alternatives; what matters is using the same T everywhere.</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Well under a vol point at 49 days; absorbed by the calibration.</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3</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Put-call parity applied to American options to imply the forward.</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Parity holds exactly only for European options; the American put's early-exercise premium biases the forward low.</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 cent or two at 49 days, inside the bid-ask noise. De-Americanising moves the forward +$0.144.</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4</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Dividend yield derived from the quotes, not assumed from SPY's trailing yield.</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No ex-dividend date falls inside this window, so the trailing yield would be simply wrong here.</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Assuming 1.4% would misprice the forward by ~$0.90, about four strike increments.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5</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Smile built from out-of-the-money quotes only, split at the forward rather than spot.</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in-the-money leg is illiquid and its vendor IV is unreliable.</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At the 405 strike the deep-ITM call shows 27.2% against 23.2% for the liquid OTM put.</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6</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derived NYSE calendar ignores one-off closures (state funerals, Hurricane Sandy).</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Those surface as "missing" days for a human to judge, which is the right outcome.</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None in the VaR window.</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14</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deviation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Implied vols are re-implied by us from OTM mid prices by inverting BAW against the parity forward, replacing the vendor's.</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vendor's put and call IVs are mutually inconsistent — their smile is non-monotone at the crossover.</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SABR RMSE 0.2946 to 0.2346; adjacent gap +0.291 to -0.209 (sign corrected).</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17</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extrapolated crossover-step metric is unreliable on this date.</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Crossed quotes at strikes 477 and 478 leave a $3 hole at the forward, in the most curved part of the smile.</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Extrapolation gives +0.21 to +0.41 depending on the fit; the robust adjacent gap is used instead.</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20</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lookback-window comparison years are context only and are not put through the Phase 0 calendar validation.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Vendor data quality varies by year; the comparison is illustrative.</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2022 alone carries 4 missing days and 9 phantom rows. Our 2023 window is clean.</w:t>
            </w:r>
          </w:p>
        </w:tc>
      </w:tr>
    </w:tbl>
    <w:p w:rsidR="009316D7" w:rsidRDefault="009316D7">
      <w:pPr>
        <w:spacing w:after="80"/>
      </w:pPr>
    </w:p>
    <w:p w:rsidR="009316D7" w:rsidRDefault="00000000">
      <w:pPr>
        <w:pStyle w:val="Heading2"/>
      </w:pPr>
      <w:r>
        <w:rPr>
          <w:color w:val="16354F"/>
        </w:rPr>
        <w:t>Model and pricing</w:t>
      </w:r>
    </w:p>
    <w:tbl>
      <w:tblPr>
        <w:tblStyle w:val="LightGrid-Accent1"/>
        <w:tblW w:w="0" w:type="auto"/>
        <w:jc w:val="center"/>
        <w:tblLayout w:type="fixed"/>
        <w:tblLook w:val="04A0" w:firstRow="1" w:lastRow="0" w:firstColumn="1" w:lastColumn="0" w:noHBand="0" w:noVBand="1"/>
      </w:tblPr>
      <w:tblGrid>
        <w:gridCol w:w="403"/>
        <w:gridCol w:w="1123"/>
        <w:gridCol w:w="2736"/>
        <w:gridCol w:w="2736"/>
        <w:gridCol w:w="2362"/>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r>
              <w:rPr>
                <w:sz w:val="16"/>
              </w:rPr>
              <w:t>#</w:t>
            </w:r>
          </w:p>
        </w:tc>
        <w:tc>
          <w:tcPr>
            <w:tcW w:w="1123"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What</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Why</w:t>
            </w:r>
          </w:p>
        </w:tc>
        <w:tc>
          <w:tcPr>
            <w:tcW w:w="236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Measured impact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7</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z/x(z) factor is 0/0 at the money; handled by an explicit branch to the closed-form limit.</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Floating point cannot evaluate the ratio near the money — both numerator and denominator are tiny.</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Verified continuous to 4.5e-08 vol points across the branch boundary.</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8</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beta fixed at 1.0, not fitted.</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beta is close to jointly unidentifiable with rho; the filing specifies SABR but states no beta.</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Across beta 0 to 1 the RMSE moves 0.04 vol points while alpha swings 476x.</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9</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Calibration restricted to |moneyness| &lt;= 15%.</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far wings are penny quotes outside the range where Hagan's asymptotic expansion is reliable.</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103 of 151 strikes fitted. At the full smile RMSE is 0.8116 against 0.2946.</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10</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Cost of carry b = r - q rather than the filing's b = 0 (Black-76).</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filing prices interest rate futures options; SPY is a dividend-paying equity ETF.</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b derived from the market at 5.5926%, versus r of 5.4000%.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11</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deviation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cost_of_carry is a required argument with no SPY default.</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 xml:space="preserve">A hardcoded default would conflict with the derived b, and a silently wrong carry </w:t>
            </w:r>
            <w:r>
              <w:rPr>
                <w:sz w:val="15"/>
              </w:rPr>
              <w:lastRenderedPageBreak/>
              <w:t>produces plausible-looking wrong prices.</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lastRenderedPageBreak/>
              <w:t>None — a safety choice.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22</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Time to expiry held fixed at 49 days rather than decremented.</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Decrementing includes theta, which would shift every scenario down by roughly the same amount regardless of market direction.</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Isolates pure market risk; excludes one day of theta from every P&amp;L.</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23</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deviation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Sticky-moneyness: SABR parameters held fixed and re-evaluated at the new forward.</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alternative is sticky-strike. Our strike's vol rises when the market rallies, since K/F falls and slides it into the steep left wing.</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Dampens P&amp;L both ways; the less conservative convention for a long put. At +3% it prices $3.31 against sticky-strike's $2.27.</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24</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No volatility-surface shock.</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Declined; the historical surfaces to build it do exist in the dataset.</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Scenario P&amp;Ls carry spot risk and the smile's response to spot, but no independent volatility risk.</w:t>
            </w:r>
          </w:p>
        </w:tc>
      </w:tr>
    </w:tbl>
    <w:p w:rsidR="009316D7" w:rsidRDefault="009316D7">
      <w:pPr>
        <w:spacing w:after="80"/>
      </w:pPr>
    </w:p>
    <w:p w:rsidR="009316D7" w:rsidRDefault="00000000">
      <w:pPr>
        <w:pStyle w:val="Heading2"/>
      </w:pPr>
      <w:r>
        <w:rPr>
          <w:color w:val="16354F"/>
        </w:rPr>
        <w:t>Numerical and validation</w:t>
      </w:r>
    </w:p>
    <w:tbl>
      <w:tblPr>
        <w:tblStyle w:val="LightGrid-Accent1"/>
        <w:tblW w:w="0" w:type="auto"/>
        <w:jc w:val="center"/>
        <w:tblLayout w:type="fixed"/>
        <w:tblLook w:val="04A0" w:firstRow="1" w:lastRow="0" w:firstColumn="1" w:lastColumn="0" w:noHBand="0" w:noVBand="1"/>
      </w:tblPr>
      <w:tblGrid>
        <w:gridCol w:w="403"/>
        <w:gridCol w:w="1123"/>
        <w:gridCol w:w="2736"/>
        <w:gridCol w:w="2736"/>
        <w:gridCol w:w="2362"/>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r>
              <w:rPr>
                <w:sz w:val="16"/>
              </w:rPr>
              <w:t>#</w:t>
            </w:r>
          </w:p>
        </w:tc>
        <w:tc>
          <w:tcPr>
            <w:tcW w:w="1123"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What</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Why</w:t>
            </w:r>
          </w:p>
        </w:tc>
        <w:tc>
          <w:tcPr>
            <w:tcW w:w="236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Measured impact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12</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deviation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No literature benchmark table transcribed; a convergent CRR binomial lattice is the reference instead.</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Reference values from the BAW 1987 paper could not be verified from the build environment, and an unverifiable number would validate the pricer against fiction.</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 lattice is the same methodology BAW used, over a whole grid rather than a handful of points.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13</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BAW's put error changes sign with moneyness: understates the ATM premium (~95% recovered), overstates it OTM by more than 2x.</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It is an approximation; the filing specifies it.</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 xml:space="preserve">Does not cancel in the P&amp;L but amplifies ~5.5x, contributing </w:t>
            </w:r>
            <w:r>
              <w:rPr>
                <w:b/>
                <w:sz w:val="15"/>
              </w:rPr>
              <w:t>roughly 1% error to the final VaR</w:t>
            </w:r>
            <w:r>
              <w:rPr>
                <w:sz w:val="15"/>
              </w:rPr>
              <w: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15</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 residual put/call inconsistency remains after re-implying.</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De-Americanising the parity forward explains only ~20%; the rest is most likely that the parity forward is computed from both legs, one always illiquid.</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Adjacent gap -0.209 against -0.058 predicted by the local slope.</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16</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Vega is computed for error attribution only, never to price a scenario.</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filing forbids Greeks-based approximation of scenario prices.</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Used to show 99.21% of the pricing error is the volatility fit seen through vega.</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25</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deviation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taylor_approximation_counterfactual deliberately computes the shortcut the filing forbids.</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For demonstration only, never for a risk number — to show the size of the error being avoided.</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Delta+gamma understates the worst-case loss by 8.6%; delta-only peaks at 17.6% of position value.</w:t>
            </w:r>
          </w:p>
        </w:tc>
      </w:tr>
    </w:tbl>
    <w:p w:rsidR="009316D7" w:rsidRDefault="009316D7">
      <w:pPr>
        <w:spacing w:after="80"/>
      </w:pPr>
    </w:p>
    <w:p w:rsidR="009316D7" w:rsidRDefault="00000000">
      <w:pPr>
        <w:pStyle w:val="Heading2"/>
      </w:pPr>
      <w:r>
        <w:rPr>
          <w:color w:val="16354F"/>
        </w:rPr>
        <w:t>Simulation, VaR and interpretation</w:t>
      </w:r>
    </w:p>
    <w:tbl>
      <w:tblPr>
        <w:tblStyle w:val="LightGrid-Accent1"/>
        <w:tblW w:w="0" w:type="auto"/>
        <w:jc w:val="center"/>
        <w:tblLayout w:type="fixed"/>
        <w:tblLook w:val="04A0" w:firstRow="1" w:lastRow="0" w:firstColumn="1" w:lastColumn="0" w:noHBand="0" w:noVBand="1"/>
      </w:tblPr>
      <w:tblGrid>
        <w:gridCol w:w="403"/>
        <w:gridCol w:w="1123"/>
        <w:gridCol w:w="2736"/>
        <w:gridCol w:w="2736"/>
        <w:gridCol w:w="2362"/>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r>
              <w:rPr>
                <w:sz w:val="16"/>
              </w:rPr>
              <w:t>#</w:t>
            </w:r>
          </w:p>
        </w:tc>
        <w:tc>
          <w:tcPr>
            <w:tcW w:w="1123"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What</w:t>
            </w:r>
          </w:p>
        </w:tc>
        <w:tc>
          <w:tcPr>
            <w:tcW w:w="2736"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Why</w:t>
            </w:r>
          </w:p>
        </w:tc>
        <w:tc>
          <w:tcPr>
            <w:tcW w:w="2362"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6"/>
              </w:rPr>
              <w:t>Measured impact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18</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Simple returns, not log returns.</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They are exactly what S x (1 + r) needs; log returns' advantage is additive aggregation over multi-day horizons, and ours is one day.</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2bp on this sample's worst day.</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19</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deviation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simulation is unweighted, matching the filing.</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Every day counts equally despite volatility clustering being real. No exponential weighting, no filtered historical simulation.</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Not separately quantified; see entry 21 for the window effect.</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21</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limitation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5"/>
              </w:rPr>
              <w:t>Our 250-day window contains no crisis.</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 consequence of the reference date, not a choice. Excess kurtosis -0.18, no day beyond 3 sigma.</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 xml:space="preserve">1st percentile -1.64% against -6.76% for a 2020 window — </w:t>
            </w:r>
            <w:r>
              <w:rPr>
                <w:b/>
                <w:sz w:val="15"/>
              </w:rPr>
              <w:t>4.1x smaller</w:t>
            </w:r>
            <w:r>
              <w:rPr>
                <w:sz w:val="15"/>
              </w:rPr>
              <w:t>. The VaR is benign because of the window, not the position.</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26</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The stress-window run keeps today's volatility surface and changes only the return distribution.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 long put is long vega and loses on rallies, so freezing today's calm surface makes the losing tail deeper than a true joint replay.</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Overstates the loss tail: on the worst stress scenario, vol +10 points cuts the loss from $5.59 to $1.90.</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27</w:t>
            </w:r>
          </w:p>
        </w:tc>
        <w:tc>
          <w:tcPr>
            <w:tcW w:w="1123"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approximation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t xml:space="preserve">The (N-1)*alpha rank definition is one of several in common use and the filing </w:t>
            </w:r>
            <w:r>
              <w:rPr>
                <w:sz w:val="15"/>
              </w:rPr>
              <w:lastRenderedPageBreak/>
              <w:t>does not pin one down.</w:t>
            </w:r>
          </w:p>
        </w:tc>
        <w:tc>
          <w:tcPr>
            <w:tcW w:w="2736"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lastRenderedPageBreak/>
              <w:t xml:space="preserve">It is R type 7 and NumPy's default, which makes the result directly checkable </w:t>
            </w:r>
            <w:r>
              <w:rPr>
                <w:sz w:val="15"/>
              </w:rPr>
              <w:lastRenderedPageBreak/>
              <w:t>against a standard library.</w:t>
            </w:r>
          </w:p>
        </w:tc>
        <w:tc>
          <w:tcPr>
            <w:tcW w:w="2362"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5"/>
              </w:rPr>
              <w:lastRenderedPageBreak/>
              <w:t xml:space="preserve">Alternatives shift the VaR by up to </w:t>
            </w:r>
            <w:r>
              <w:rPr>
                <w:b/>
                <w:sz w:val="15"/>
              </w:rPr>
              <w:t>$0.0358, or 1.46%</w:t>
            </w:r>
            <w:r>
              <w:rPr>
                <w:sz w:val="15"/>
              </w:rPr>
              <w:t>.</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3" w:type="dxa"/>
          </w:tcPr>
          <w:p w:rsidR="009316D7" w:rsidRDefault="00000000">
            <w:pPr>
              <w:spacing w:after="20"/>
            </w:pPr>
            <w:r>
              <w:rPr>
                <w:sz w:val="15"/>
              </w:rPr>
              <w:t>28</w:t>
            </w:r>
          </w:p>
        </w:tc>
        <w:tc>
          <w:tcPr>
            <w:tcW w:w="1123"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approximation</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Expected shortfall averages only the 3 scenarios beyond the threshold.</w:t>
            </w:r>
          </w:p>
        </w:tc>
        <w:tc>
          <w:tcPr>
            <w:tcW w:w="2736"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A limitation of 250 scenarios, not of the estimator. Simple mean of breaching scenarios, not an integrated tail expectation.</w:t>
            </w:r>
          </w:p>
        </w:tc>
        <w:tc>
          <w:tcPr>
            <w:tcW w:w="2362"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5"/>
              </w:rPr>
              <w:t>One scenario moving in or out changes it visibly.</w:t>
            </w:r>
          </w:p>
        </w:tc>
      </w:tr>
    </w:tbl>
    <w:p w:rsidR="009316D7" w:rsidRDefault="009316D7">
      <w:pPr>
        <w:spacing w:after="80"/>
      </w:pPr>
    </w:p>
    <w:p w:rsidR="009316D7" w:rsidRDefault="00000000">
      <w:r>
        <w:br w:type="page"/>
      </w:r>
    </w:p>
    <w:p>
      <w:pPr>
        <w:pStyle w:val="Heading2"/>
      </w:pPr>
      <w:r>
        <w:t>Second dataset and the Databento extension</w:t>
      </w:r>
    </w:p>
    <w:p>
      <w:r>
        <w:rPr>
          <w:b w:val="0"/>
        </w:rPr>
        <w:t>Assumptions 1–28 above apply to both reference cases. These apply only to the Databento-sourced case, and are listed separately for that reason.</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b/>
              </w:rPr>
              <w:t>#</w:t>
            </w:r>
          </w:p>
        </w:tc>
        <w:tc>
          <w:tcPr>
            <w:tcW w:type="dxa" w:w="1930"/>
          </w:tcPr>
          <w:p>
            <w:r/>
            <w:r>
              <w:rPr>
                <w:b/>
              </w:rPr>
              <w:t>Type</w:t>
            </w:r>
          </w:p>
        </w:tc>
        <w:tc>
          <w:tcPr>
            <w:tcW w:type="dxa" w:w="1930"/>
          </w:tcPr>
          <w:p>
            <w:r/>
            <w:r>
              <w:rPr>
                <w:b/>
              </w:rPr>
              <w:t>What</w:t>
            </w:r>
          </w:p>
        </w:tc>
        <w:tc>
          <w:tcPr>
            <w:tcW w:type="dxa" w:w="1930"/>
          </w:tcPr>
          <w:p>
            <w:r/>
            <w:r>
              <w:rPr>
                <w:b/>
              </w:rPr>
              <w:t>Why</w:t>
            </w:r>
          </w:p>
        </w:tc>
        <w:tc>
          <w:tcPr>
            <w:tcW w:type="dxa" w:w="1930"/>
          </w:tcPr>
          <w:p>
            <w:r/>
            <w:r>
              <w:rPr>
                <w:b/>
              </w:rPr>
              <w:t>Measured impact</w:t>
            </w:r>
          </w:p>
        </w:tc>
      </w:tr>
      <w:tr>
        <w:tc>
          <w:tcPr>
            <w:tcW w:type="dxa" w:w="1930"/>
          </w:tcPr>
          <w:p>
            <w:r/>
            <w:r>
              <w:t>29</w:t>
            </w:r>
          </w:p>
        </w:tc>
        <w:tc>
          <w:tcPr>
            <w:tcW w:type="dxa" w:w="1930"/>
          </w:tcPr>
          <w:p>
            <w:r/>
            <w:r>
              <w:t>approximation</w:t>
            </w:r>
          </w:p>
        </w:tc>
        <w:tc>
          <w:tcPr>
            <w:tcW w:type="dxa" w:w="1930"/>
          </w:tcPr>
          <w:p>
            <w:r/>
            <w:r>
              <w:t>A 3-minute pre-close window (15:57–16:00 ET) stands in for an end-of-day snapshot</w:t>
            </w:r>
          </w:p>
        </w:tc>
        <w:tc>
          <w:tcPr>
            <w:tcW w:type="dxa" w:w="1930"/>
          </w:tcPr>
          <w:p>
            <w:r/>
            <w:r>
              <w:t>OPRA is a quote feed, not an EOD product. The last three minutes are the densest part of the session and the closest available analogue to the vendor's 16:00 stamp.</w:t>
            </w:r>
          </w:p>
        </w:tc>
        <w:tc>
          <w:tcPr>
            <w:tcW w:type="dxa" w:w="1930"/>
          </w:tcPr>
          <w:p>
            <w:r/>
            <w:r>
              <w:t>Against OptionsDX on the same date, median mid difference $0.0000; the largest single difference was $0.07 on the reference put</w:t>
            </w:r>
          </w:p>
        </w:tc>
      </w:tr>
      <w:tr>
        <w:tc>
          <w:tcPr>
            <w:tcW w:type="dxa" w:w="1930"/>
          </w:tcPr>
          <w:p>
            <w:r/>
            <w:r>
              <w:t>30</w:t>
            </w:r>
          </w:p>
        </w:tc>
        <w:tc>
          <w:tcPr>
            <w:tcW w:type="dxa" w:w="1930"/>
          </w:tcPr>
          <w:p>
            <w:r/>
            <w:r>
              <w:t>deviation</w:t>
            </w:r>
          </w:p>
        </w:tc>
        <w:tc>
          <w:tcPr>
            <w:tcW w:type="dxa" w:w="1930"/>
          </w:tcPr>
          <w:p>
            <w:r/>
            <w:r>
              <w:t>Each contract's LAST minute bar is kept, not the final timestamp's rows</w:t>
            </w:r>
          </w:p>
        </w:tc>
        <w:tc>
          <w:tcPr>
            <w:tcW w:type="dxa" w:w="1930"/>
          </w:tcPr>
          <w:p>
            <w:r/>
            <w:r>
              <w:t>A contract quoted only in an earlier bar keeps that quote rather than being dropped.</w:t>
            </w:r>
          </w:p>
        </w:tc>
        <w:tc>
          <w:tcPr>
            <w:tcW w:type="dxa" w:w="1930"/>
          </w:tcPr>
          <w:p>
            <w:r/>
            <w:r>
              <w:t>Recovers thinly quoted strikes that a timestamp filter would discard</w:t>
            </w:r>
          </w:p>
        </w:tc>
      </w:tr>
      <w:tr>
        <w:tc>
          <w:tcPr>
            <w:tcW w:type="dxa" w:w="1930"/>
          </w:tcPr>
          <w:p>
            <w:r/>
            <w:r>
              <w:t>31</w:t>
            </w:r>
          </w:p>
        </w:tc>
        <w:tc>
          <w:tcPr>
            <w:tcW w:type="dxa" w:w="1930"/>
          </w:tcPr>
          <w:p>
            <w:r/>
            <w:r>
              <w:t>deviation</w:t>
            </w:r>
          </w:p>
        </w:tc>
        <w:tc>
          <w:tcPr>
            <w:tcW w:type="dxa" w:w="1930"/>
          </w:tcPr>
          <w:p>
            <w:r/>
            <w:r>
              <w:t>NYSE early closes are listed explicitly and pulled at the 13:00 ET close</w:t>
            </w:r>
          </w:p>
        </w:tc>
        <w:tc>
          <w:tcPr>
            <w:tcW w:type="dxa" w:w="1930"/>
          </w:tcPr>
          <w:p>
            <w:r/>
            <w:r>
              <w:t>About three days a year the exchange shuts at 1pm. The day is still a trading day, so a 16:00 window looks ordinary while sitting three hours after the bell.</w:t>
            </w:r>
          </w:p>
        </w:tc>
        <w:tc>
          <w:tcPr>
            <w:tcW w:type="dxa" w:w="1930"/>
          </w:tcPr>
          <w:p>
            <w:r/>
            <w:r>
              <w:t>3 sessions in range; all returned no data at 16:00 and normal volumes at 13:00</w:t>
            </w:r>
          </w:p>
        </w:tc>
      </w:tr>
      <w:tr>
        <w:tc>
          <w:tcPr>
            <w:tcW w:type="dxa" w:w="1930"/>
          </w:tcPr>
          <w:p>
            <w:r/>
            <w:r>
              <w:t>32</w:t>
            </w:r>
          </w:p>
        </w:tc>
        <w:tc>
          <w:tcPr>
            <w:tcW w:type="dxa" w:w="1930"/>
          </w:tcPr>
          <w:p>
            <w:r/>
            <w:r>
              <w:t>deviation</w:t>
            </w:r>
          </w:p>
        </w:tc>
        <w:tc>
          <w:tcPr>
            <w:tcW w:type="dxa" w:w="1930"/>
          </w:tcPr>
          <w:p>
            <w:r/>
            <w:r>
              <w:t>One-off full closures are listed explicitly and excluded</w:t>
            </w:r>
          </w:p>
        </w:tc>
        <w:tc>
          <w:tcPr>
            <w:tcW w:type="dxa" w:w="1930"/>
          </w:tcPr>
          <w:p>
            <w:r/>
            <w:r>
              <w:t>The derived calendar applies holiday rules and cannot know about state funerals or weather.</w:t>
            </w:r>
          </w:p>
        </w:tc>
        <w:tc>
          <w:tcPr>
            <w:tcW w:type="dxa" w:w="1930"/>
          </w:tcPr>
          <w:p>
            <w:r/>
            <w:r>
              <w:t>1 session: 2025-01-09, the day of mourning for President Carter</w:t>
            </w:r>
          </w:p>
        </w:tc>
      </w:tr>
      <w:tr>
        <w:tc>
          <w:tcPr>
            <w:tcW w:type="dxa" w:w="1930"/>
          </w:tcPr>
          <w:p>
            <w:r/>
            <w:r>
              <w:t>33</w:t>
            </w:r>
          </w:p>
        </w:tc>
        <w:tc>
          <w:tcPr>
            <w:tcW w:type="dxa" w:w="1930"/>
          </w:tcPr>
          <w:p>
            <w:r/>
            <w:r>
              <w:t>deviation</w:t>
            </w:r>
          </w:p>
        </w:tc>
        <w:tc>
          <w:tcPr>
            <w:tcW w:type="dxa" w:w="1930"/>
          </w:tcPr>
          <w:p>
            <w:r/>
            <w:r>
              <w:t>UNDERLYING_LAST is SPY's observed consolidated close (EQUS.SUMMARY), not derived and not single-venue</w:t>
            </w:r>
          </w:p>
        </w:tc>
        <w:tc>
          <w:tcPr>
            <w:tcW w:type="dxa" w:w="1930"/>
          </w:tcPr>
          <w:p>
            <w:r/>
            <w:r>
              <w:t>OPRA carries no underlying price. A parity/carry derivation was built first and then replaced by an observation, so the return series driving the VaR carries no model.</w:t>
            </w:r>
          </w:p>
        </w:tc>
        <w:tc>
          <w:tcPr>
            <w:tcW w:type="dxa" w:w="1930"/>
          </w:tcPr>
          <w:p>
            <w:r/>
            <w:r>
              <w:t>Derived vs observed: median $0.16, return correlation 0.9954. A single-venue close (ARCX.PILLAR) diverged by up to $19.62, correlation 0.910</w:t>
            </w:r>
          </w:p>
        </w:tc>
      </w:tr>
      <w:tr>
        <w:tc>
          <w:tcPr>
            <w:tcW w:type="dxa" w:w="1930"/>
          </w:tcPr>
          <w:p>
            <w:r/>
            <w:r>
              <w:t>34</w:t>
            </w:r>
          </w:p>
        </w:tc>
        <w:tc>
          <w:tcPr>
            <w:tcW w:type="dxa" w:w="1930"/>
          </w:tcPr>
          <w:p>
            <w:r/>
            <w:r>
              <w:t>approximation</w:t>
            </w:r>
          </w:p>
        </w:tc>
        <w:tc>
          <w:tcPr>
            <w:tcW w:type="dxa" w:w="1930"/>
          </w:tcPr>
          <w:p>
            <w:r/>
            <w:r>
              <w:t>C_IV and P_IV hold European Black-76 vols computed by this project, not a vendor's</w:t>
            </w:r>
          </w:p>
        </w:tc>
        <w:tc>
          <w:tcPr>
            <w:tcW w:type="dxa" w:w="1930"/>
          </w:tcPr>
          <w:p>
            <w:r/>
            <w:r>
              <w:t>build_otm_smile filters on that column and Phase 0 runs before Phase 3 can replace it; a null column returns zero strikes.</w:t>
            </w:r>
          </w:p>
        </w:tc>
        <w:tc>
          <w:tcPr>
            <w:tcW w:type="dxa" w:w="1930"/>
          </w:tcPr>
          <w:p>
            <w:r/>
            <w:r>
              <w:t>Phase 3 overwrites them. Inversion round-trips to 3.4e-13 in price</w:t>
            </w:r>
          </w:p>
        </w:tc>
      </w:tr>
      <w:tr>
        <w:tc>
          <w:tcPr>
            <w:tcW w:type="dxa" w:w="1930"/>
          </w:tcPr>
          <w:p>
            <w:r/>
            <w:r>
              <w:t>35</w:t>
            </w:r>
          </w:p>
        </w:tc>
        <w:tc>
          <w:tcPr>
            <w:tcW w:type="dxa" w:w="1930"/>
          </w:tcPr>
          <w:p>
            <w:r/>
            <w:r>
              <w:t>deviation</w:t>
            </w:r>
          </w:p>
        </w:tc>
        <w:tc>
          <w:tcPr>
            <w:tcW w:type="dxa" w:w="1930"/>
          </w:tcPr>
          <w:p>
            <w:r/>
            <w:r>
              <w:t>Instrument definitions are pulled per session, not quarterly</w:t>
            </w:r>
          </w:p>
        </w:tc>
        <w:tc>
          <w:tcPr>
            <w:tcW w:type="dxa" w:w="1930"/>
          </w:tcPr>
          <w:p>
            <w:r/>
            <w:r>
              <w:t>Quarterly anchors leave contracts listed between anchors unmatched.</w:t>
            </w:r>
          </w:p>
        </w:tc>
        <w:tc>
          <w:tcPr>
            <w:tcW w:type="dxa" w:w="1930"/>
          </w:tcPr>
          <w:p>
            <w:r/>
            <w:r>
              <w:t>Match rate 89.3% at worst on quarterly anchors, 100.0000% per-day across all 11,036,871 rows. Cost $6.34 against $0.12</w:t>
            </w:r>
          </w:p>
        </w:tc>
      </w:tr>
      <w:tr>
        <w:tc>
          <w:tcPr>
            <w:tcW w:type="dxa" w:w="1930"/>
          </w:tcPr>
          <w:p>
            <w:r/>
            <w:r>
              <w:t>36</w:t>
            </w:r>
          </w:p>
        </w:tc>
        <w:tc>
          <w:tcPr>
            <w:tcW w:type="dxa" w:w="1930"/>
          </w:tcPr>
          <w:p>
            <w:r/>
            <w:r>
              <w:t>assumption</w:t>
            </w:r>
          </w:p>
        </w:tc>
        <w:tc>
          <w:tcPr>
            <w:tcW w:type="dxa" w:w="1930"/>
          </w:tcPr>
          <w:p>
            <w:r/>
            <w:r>
              <w:t>Risk-free rate pinned at 3.66% for 2026-06-01</w:t>
            </w:r>
          </w:p>
        </w:tc>
        <w:tc>
          <w:tcPr>
            <w:tcW w:type="dxa" w:w="1930"/>
          </w:tcPr>
          <w:p>
            <w:r/>
            <w:r>
              <w:t>Same FRED DGS3MO series and same external-pin methodology as the original's 5.40%.</w:t>
            </w:r>
          </w:p>
        </w:tc>
        <w:tc>
          <w:tcPr>
            <w:tcW w:type="dxa" w:w="1930"/>
          </w:tcPr>
          <w:p>
            <w:r/>
            <w:r>
              <w:t>Implied dividend yield comes out +1.90%, equal to $1.82 on a $758.54 underlying — SPY's actual quarterly dividend</w:t>
            </w:r>
          </w:p>
        </w:tc>
      </w:tr>
      <w:tr>
        <w:tc>
          <w:tcPr>
            <w:tcW w:type="dxa" w:w="1930"/>
          </w:tcPr>
          <w:p>
            <w:r/>
            <w:r>
              <w:t>37</w:t>
            </w:r>
          </w:p>
        </w:tc>
        <w:tc>
          <w:tcPr>
            <w:tcW w:type="dxa" w:w="1930"/>
          </w:tcPr>
          <w:p>
            <w:r/>
            <w:r>
              <w:t>limitation</w:t>
            </w:r>
          </w:p>
        </w:tc>
        <w:tc>
          <w:tcPr>
            <w:tcW w:type="dxa" w:w="1930"/>
          </w:tcPr>
          <w:p>
            <w:r/>
            <w:r>
              <w:t>The lookback-window comparison uses in-dataset dates only</w:t>
            </w:r>
          </w:p>
        </w:tc>
        <w:tc>
          <w:tcPr>
            <w:tcW w:type="dxa" w:w="1930"/>
          </w:tcPr>
          <w:p>
            <w:r/>
            <w:r>
              <w:t>The dataset spans 17 months, so only sessions from 2026-01-02 have a full 250-return window behind them.</w:t>
            </w:r>
          </w:p>
        </w:tc>
        <w:tc>
          <w:tcPr>
            <w:tcW w:type="dxa" w:w="1930"/>
          </w:tcPr>
          <w:p>
            <w:r/>
            <w:r>
              <w:t>5 comparison dates instead of the original's 6 spanning 2011–2023; the effect shown is sharper but the range is narrower</w:t>
            </w:r>
          </w:p>
        </w:tc>
      </w:tr>
    </w:tbl>
    <w:p w:rsidR="009316D7" w:rsidRDefault="00000000">
      <w:pPr>
        <w:pStyle w:val="Heading1"/>
      </w:pPr>
      <w:r>
        <w:t>9. What to trust, and what to caveat</w:t>
      </w:r>
    </w:p>
    <w:p w:rsidR="009316D7" w:rsidRDefault="00000000">
      <w:pPr>
        <w:pStyle w:val="Heading2"/>
      </w:pPr>
      <w:r>
        <w:rPr>
          <w:color w:val="16354F"/>
        </w:rPr>
        <w:t>What is solid</w:t>
      </w:r>
    </w:p>
    <w:p>
      <w:r>
        <w:rPr>
          <w:b/>
        </w:rPr>
        <w:t xml:space="preserve">Added by the second case. </w:t>
      </w:r>
      <w:r>
        <w:rPr>
          <w:b w:val="0"/>
        </w:rPr>
        <w:t>The methodology now has two independent results from two independent vendors, produced by byte-identical pricing and calibration code. All 197 out-of-the-money strikes inverted on the new data and the SABR fit is better than on the original (RMSE 0.2080 vs 0.2346). The data source's own contribution to the difference between them was measured, not assumed: a median implied-vol difference of exactly zero on a shared date.</w:t>
      </w:r>
    </w:p>
    <w:p w:rsidR="009316D7" w:rsidRDefault="00000000">
      <w:r>
        <w:t xml:space="preserve">The pricer is correct, not merely close. The checks that establish it are exact structural properties, not tolerance comparisons: put-call parity holds to 2.8e-14, the American call equals the European when b = r to </w:t>
      </w:r>
      <w:r>
        <w:rPr>
          <w:b/>
        </w:rPr>
        <w:t>exactly zero</w:t>
      </w:r>
      <w:r>
        <w:t>, and there are no bound violations in 1,350 grid points.</w:t>
      </w:r>
    </w:p>
    <w:p w:rsidR="009316D7" w:rsidRDefault="00000000">
      <w:r>
        <w:t xml:space="preserve">The junction between the two models is verified, not assumed. If spot had been passed where the forward belongs, or the day count mismatched, the pricing error would be structural. Instead </w:t>
      </w:r>
      <w:r>
        <w:rPr>
          <w:b/>
        </w:rPr>
        <w:t>99.21%</w:t>
      </w:r>
      <w:r>
        <w:t xml:space="preserve"> of it is explained by the volatility fit error seen through vega, correlation 0.999974. What remains is the smile fit, which is limited by the data rather than the plumbing.</w:t>
      </w:r>
    </w:p>
    <w:p w:rsidR="009316D7" w:rsidRDefault="00000000">
      <w:r>
        <w:t>The VaR arithmetic is right. The interpolation is implemented explicitly and agrees with numpy.percentile to 0.000e+00 — used as a check, never as the answer. It was also hand-checked against the four worst P&amp;Ls, and the edge cases behave (an all-profitable sample returns a negative VaR unclipped rather than being floored at zero).</w:t>
      </w:r>
    </w:p>
    <w:p w:rsidR="009316D7" w:rsidRDefault="00000000">
      <w:r>
        <w:t>It reproduces. A cold run from deleted caches completes in about nine seconds, all five entry points exit clean, and every figure and table regenerates from the raw data.</w:t>
      </w:r>
    </w:p>
    <w:p w:rsidR="009316D7" w:rsidRDefault="00000000">
      <w:pPr>
        <w:pStyle w:val="Heading2"/>
      </w:pPr>
      <w:r>
        <w:rPr>
          <w:color w:val="16354F"/>
        </w:rPr>
        <w:t>What to caveat</w:t>
      </w:r>
    </w:p>
    <w:p>
      <w:r>
        <w:rPr>
          <w:b/>
        </w:rPr>
        <w:t xml:space="preserve">Added by the second case. </w:t>
      </w:r>
      <w:r>
        <w:rPr>
          <w:b w:val="0"/>
        </w:rPr>
        <w:t>2026-06-01 has no external price benchmark of its own — only 2023-12-29 was directly cross-checked, and the second case rests on one source validated on a different date. Its stress window reaches April 2025 rather than a 2020-scale crisis, so its 1.27× ratio should not be read against the original's 2.01×. And its vendor-IV column is this project's own European inversion, so the Phase 3 before/after comparison measures something narrower there than it did originally.</w:t>
      </w:r>
    </w:p>
    <w:p w:rsidR="009316D7" w:rsidRDefault="00000000">
      <w:r>
        <w:rPr>
          <w:b/>
        </w:rPr>
        <w:t>This VaR is benign because 2023 was a calm year, not because the position is safe.</w:t>
      </w:r>
      <w:r>
        <w:t xml:space="preserve"> That is the single most important sentence in this document. The window has thinner tails than a normal distribution and contains no day beyond 3 sigma. Its 1st percentile return is -1.64%; a window ending in 2020 gives -6.76%, and the stress VaR is 2.0x the baseline. Nothing about the position changed between those two numbers — only which twelve months preceded the reference date. A crisis counts fully until the day it ages out of the window, then not at all.</w:t>
      </w:r>
    </w:p>
    <w:p w:rsidR="009316D7" w:rsidRDefault="00000000">
      <w:r>
        <w:t>There is no volatility risk in this number. The surface is frozen at today's calibration and only the anchor point moves with spot. A genuine full revaluation of a historical day would shock the surface too. The size of that omission is visible in the stress run: in March 2020 the same spot move with the surface where it actually was turns a $5.59 loss into a $3.32 gain.</w:t>
      </w:r>
    </w:p>
    <w:p w:rsidR="009316D7" w:rsidRDefault="00000000">
      <w:r>
        <w:t>There is a measured precision floor of about 1%. BAW's approximation error does not cancel when prices are differenced — it amplifies 5.5x — so roughly 1% of every scenario P&amp;L, and therefore of the VaR, is method error rather than market risk. The filing specifies BAW, so this is intended behaviour, but it is a floor.</w:t>
      </w:r>
    </w:p>
    <w:p w:rsidR="009316D7" w:rsidRDefault="00000000">
      <w:r>
        <w:t>The smile is still not fully self-consistent. Re-implying the volatilities corrected the sign of the crossover gap and improved the fit, but a residual inconsistency of -0.209 against -0.058 predicted by the local slope remains, diagnosed and documented rather than patched.</w:t>
      </w:r>
    </w:p>
    <w:p w:rsidR="009316D7" w:rsidRDefault="00000000">
      <w:r>
        <w:t>The scope is narrow. One position, one day, one underlying, one data source. No portfolio or correlation effects (that phase was scoped and skipped), no multi-day scaling, no liquidity or bid-ask adjustment — positions are marked at theoretical mid — and a single end-of-day vendor whose own implied vols proved inconsistent enough that we recomputed them.</w:t>
      </w:r>
    </w:p>
    <w:p w:rsidR="009316D7" w:rsidRDefault="00000000">
      <w:pPr>
        <w:pStyle w:val="Heading2"/>
      </w:pPr>
      <w:r>
        <w:rPr>
          <w:color w:val="16354F"/>
        </w:rPr>
        <w:t>Confidence at a glance</w:t>
      </w:r>
    </w:p>
    <w:tbl>
      <w:tblPr>
        <w:tblStyle w:val="LightGrid-Accent1"/>
        <w:tblW w:w="0" w:type="auto"/>
        <w:jc w:val="center"/>
        <w:tblLayout w:type="fixed"/>
        <w:tblLook w:val="04A0" w:firstRow="1" w:lastRow="0" w:firstColumn="1" w:lastColumn="0" w:noHBand="0" w:noVBand="1"/>
      </w:tblPr>
      <w:tblGrid>
        <w:gridCol w:w="3384"/>
        <w:gridCol w:w="1368"/>
        <w:gridCol w:w="4608"/>
      </w:tblGrid>
      <w:tr w:rsidR="009316D7" w:rsidTr="009316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r>
              <w:rPr>
                <w:sz w:val="17"/>
              </w:rPr>
              <w:t>Claim</w:t>
            </w:r>
          </w:p>
        </w:tc>
        <w:tc>
          <w:tcPr>
            <w:tcW w:w="136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Confidence</w:t>
            </w:r>
          </w:p>
        </w:tc>
        <w:tc>
          <w:tcPr>
            <w:tcW w:w="4608" w:type="dxa"/>
          </w:tcPr>
          <w:p w:rsidR="009316D7" w:rsidRDefault="00000000">
            <w:pPr>
              <w:cnfStyle w:val="100000000000" w:firstRow="1" w:lastRow="0" w:firstColumn="0" w:lastColumn="0" w:oddVBand="0" w:evenVBand="0" w:oddHBand="0" w:evenHBand="0" w:firstRowFirstColumn="0" w:firstRowLastColumn="0" w:lastRowFirstColumn="0" w:lastRowLastColumn="0"/>
            </w:pPr>
            <w:r>
              <w:rPr>
                <w:sz w:val="17"/>
              </w:rPr>
              <w:t>Why</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The BAW pricer is correctly implemented</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High</w:t>
            </w:r>
          </w:p>
        </w:tc>
        <w:tc>
          <w:tcPr>
            <w:tcW w:w="460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Exact structural tests pass to machine precision; 0 violations in 1,350 grid points.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SABR is wired into BAW correctly</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High</w:t>
            </w:r>
          </w:p>
        </w:tc>
        <w:tc>
          <w:tcPr>
            <w:tcW w:w="460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99.21% of pricing error attributed to the volatility fit, not to structure.</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lastRenderedPageBreak/>
              <w:t>The VaR arithmetic matches the filing's description</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High</w:t>
            </w:r>
          </w:p>
        </w:tc>
        <w:tc>
          <w:tcPr>
            <w:tcW w:w="460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Explicit interpolation, cross-checked to 0.000e+00; but see the rank convention caveat below.</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The VaR is precise to the cent</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Low</w:t>
            </w:r>
          </w:p>
        </w:tc>
        <w:tc>
          <w:tcPr>
            <w:tcW w:w="460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~1% BAW method error, plus 1.46% spread across rank conventions.</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The volatility surface is well fitted</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Medium</w:t>
            </w:r>
          </w:p>
        </w:tc>
        <w:tc>
          <w:tcPr>
            <w:tcW w:w="460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RMSE 0.2346 vol points against a data noise floor of ~0.11; a residual put/call inconsistency remains.</w:t>
            </w:r>
          </w:p>
        </w:tc>
      </w:tr>
      <w:tr w:rsidR="009316D7" w:rsidTr="009316D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The VaR reflects the position's true risk</w:t>
            </w:r>
          </w:p>
        </w:tc>
        <w:tc>
          <w:tcPr>
            <w:tcW w:w="136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b/>
                <w:sz w:val="17"/>
              </w:rPr>
              <w:t>Low</w:t>
            </w:r>
          </w:p>
        </w:tc>
        <w:tc>
          <w:tcPr>
            <w:tcW w:w="4608" w:type="dxa"/>
          </w:tcPr>
          <w:p w:rsidR="009316D7" w:rsidRDefault="00000000">
            <w:pPr>
              <w:spacing w:after="20"/>
              <w:cnfStyle w:val="000000010000" w:firstRow="0" w:lastRow="0" w:firstColumn="0" w:lastColumn="0" w:oddVBand="0" w:evenVBand="0" w:oddHBand="0" w:evenHBand="1" w:firstRowFirstColumn="0" w:firstRowLastColumn="0" w:lastRowFirstColumn="0" w:lastRowLastColumn="0"/>
            </w:pPr>
            <w:r>
              <w:rPr>
                <w:sz w:val="17"/>
              </w:rPr>
              <w:t>No volatility risk, and the window contains no crisis. The 2020-window figure is 2.0x higher.</w:t>
            </w:r>
          </w:p>
        </w:tc>
      </w:tr>
      <w:tr w:rsidR="009316D7" w:rsidTr="009316D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84" w:type="dxa"/>
          </w:tcPr>
          <w:p w:rsidR="009316D7" w:rsidRDefault="00000000">
            <w:pPr>
              <w:spacing w:after="20"/>
            </w:pPr>
            <w:r>
              <w:rPr>
                <w:sz w:val="17"/>
              </w:rPr>
              <w:t>The results reproduce</w:t>
            </w:r>
          </w:p>
        </w:tc>
        <w:tc>
          <w:tcPr>
            <w:tcW w:w="136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b/>
                <w:sz w:val="17"/>
              </w:rPr>
              <w:t>High</w:t>
            </w:r>
          </w:p>
        </w:tc>
        <w:tc>
          <w:tcPr>
            <w:tcW w:w="4608" w:type="dxa"/>
          </w:tcPr>
          <w:p w:rsidR="009316D7" w:rsidRDefault="00000000">
            <w:pPr>
              <w:spacing w:after="20"/>
              <w:cnfStyle w:val="000000100000" w:firstRow="0" w:lastRow="0" w:firstColumn="0" w:lastColumn="0" w:oddVBand="0" w:evenVBand="0" w:oddHBand="1" w:evenHBand="0" w:firstRowFirstColumn="0" w:firstRowLastColumn="0" w:lastRowFirstColumn="0" w:lastRowLastColumn="0"/>
            </w:pPr>
            <w:r>
              <w:rPr>
                <w:sz w:val="17"/>
              </w:rPr>
              <w:t>Cold run from raw data in ~9 seconds; all entry points verified.</w:t>
            </w:r>
          </w:p>
        </w:tc>
      </w:tr>
      <w:tr>
        <w:tc>
          <w:tcPr>
            <w:tcW w:type="dxa" w:w="3384"/>
          </w:tcPr>
          <w:p>
            <w:r/>
            <w:r>
              <w:t>The two cases differ because of the market, not the data source</w:t>
            </w:r>
          </w:p>
        </w:tc>
        <w:tc>
          <w:tcPr>
            <w:tcW w:type="dxa" w:w="1368"/>
          </w:tcPr>
          <w:p>
            <w:r/>
            <w:r>
              <w:t>High</w:t>
            </w:r>
          </w:p>
        </w:tc>
        <w:tc>
          <w:tcPr>
            <w:tcW w:type="dxa" w:w="4608"/>
          </w:tcPr>
          <w:p>
            <w:r/>
            <w:r>
              <w:t>Measured on a shared date: median mid difference $0.0000, median IV difference 0.0000 vol points, forward apart by 0.89 bp — against 8.3 percentage points of difference in VaR-to-position</w:t>
            </w:r>
          </w:p>
        </w:tc>
      </w:tr>
      <w:tr>
        <w:tc>
          <w:tcPr>
            <w:tcW w:type="dxa" w:w="3384"/>
          </w:tcPr>
          <w:p>
            <w:r/>
            <w:r>
              <w:t>The 2026-06-01 numbers are as trustworthy as the 2023-12-29 ones</w:t>
            </w:r>
          </w:p>
        </w:tc>
        <w:tc>
          <w:tcPr>
            <w:tcW w:type="dxa" w:w="1368"/>
          </w:tcPr>
          <w:p>
            <w:r/>
            <w:r>
              <w:t>Medium</w:t>
            </w:r>
          </w:p>
        </w:tc>
        <w:tc>
          <w:tcPr>
            <w:tcW w:type="dxa" w:w="4608"/>
          </w:tcPr>
          <w:p>
            <w:r/>
            <w:r>
              <w:t>Same code, better fit, cleaner quotes — but one source, cross-validated only on a different date</w:t>
            </w:r>
          </w:p>
        </w:tc>
      </w:tr>
    </w:tbl>
    <w:p w:rsidR="00212A89" w:rsidRDefault="00212A89"/>
    <w:sectPr w:rsidR="00212A89"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9938515">
    <w:abstractNumId w:val="8"/>
  </w:num>
  <w:num w:numId="2" w16cid:durableId="1896429929">
    <w:abstractNumId w:val="6"/>
  </w:num>
  <w:num w:numId="3" w16cid:durableId="1072045024">
    <w:abstractNumId w:val="5"/>
  </w:num>
  <w:num w:numId="4" w16cid:durableId="1096052958">
    <w:abstractNumId w:val="4"/>
  </w:num>
  <w:num w:numId="5" w16cid:durableId="860126499">
    <w:abstractNumId w:val="7"/>
  </w:num>
  <w:num w:numId="6" w16cid:durableId="211505894">
    <w:abstractNumId w:val="3"/>
  </w:num>
  <w:num w:numId="7" w16cid:durableId="1095401026">
    <w:abstractNumId w:val="2"/>
  </w:num>
  <w:num w:numId="8" w16cid:durableId="197668830">
    <w:abstractNumId w:val="1"/>
  </w:num>
  <w:num w:numId="9" w16cid:durableId="1185948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A89"/>
    <w:rsid w:val="0029639D"/>
    <w:rsid w:val="00326F90"/>
    <w:rsid w:val="00801D3A"/>
    <w:rsid w:val="009316D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5C9D6E"/>
  <w14:defaultImageDpi w14:val="300"/>
  <w15:docId w15:val="{21A00DA2-740F-C34B-A591-327EB52FB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6082</Words>
  <Characters>34668</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tarun02</cp:lastModifiedBy>
  <cp:revision>2</cp:revision>
  <dcterms:created xsi:type="dcterms:W3CDTF">2013-12-23T23:15:00Z</dcterms:created>
  <dcterms:modified xsi:type="dcterms:W3CDTF">2026-09-05T19:15:00Z</dcterms:modified>
  <cp:category/>
</cp:coreProperties>
</file>