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360" w:type="dxa"/>
      </w:tblPr>
      <w:tblGrid>
        <w:gridCol w:w="3312"/>
        <w:gridCol w:w="3312"/>
        <w:gridCol w:w="3312"/>
      </w:tblGrid>
      <w:tr>
        <w:tc>
          <w:tcPr>
            <w:tcW w:type="dxa" w:w="245"/>
          </w:tcPr>
        </w:tc>
        <w:tc>
          <w:tcPr>
            <w:tcW w:type="dxa" w:w="10166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trglass@pm.me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www.linkedin.com/in/trglass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Bachelor of Science in Commerce and Business Administration, </w:t>
            </w: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  <w:r>
              <w:tab/>
            </w: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October 2023 – Present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by empowering functional engineering teams to achieve product-lead goals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engineering teams to deliver new product capabilities and provide comprehensive support across multiple technology stacks and surfaces of the TubeBuddy product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2021 – March 2025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December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May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2016 – March 2017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