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To predict malaria outbreak in znz</w:t>
      </w:r>
    </w:p>
    <w:p>
      <w:pPr>
        <w:pStyle w:val="Normal"/>
        <w:rPr>
          <w:sz w:val="28"/>
          <w:szCs w:val="28"/>
        </w:rPr>
      </w:pPr>
      <w:r>
        <w:rPr>
          <w:sz w:val="28"/>
          <w:szCs w:val="28"/>
        </w:rPr>
        <w:t>ANZA UPYA KWA KUFATA HAYA MAELEZO KWASABABU SCREENSHOOT ZAKE ZITATAKIWA</w:t>
      </w:r>
    </w:p>
    <w:p>
      <w:pPr>
        <w:pStyle w:val="Normal"/>
        <w:jc w:val="both"/>
        <w:rPr>
          <w:rFonts w:ascii="Times New Roman" w:hAnsi="Times New Roman" w:cs="Times New Roman"/>
        </w:rPr>
      </w:pPr>
      <w:r>
        <w:rPr>
          <w:sz w:val="28"/>
          <w:szCs w:val="28"/>
        </w:rPr>
        <w:t xml:space="preserve">Save Excel dataset hivi </w:t>
      </w:r>
      <w:r>
        <w:rPr>
          <w:b/>
          <w:bCs/>
          <w:sz w:val="28"/>
          <w:szCs w:val="28"/>
        </w:rPr>
        <w:t>Malaria_surveillance_data, Malaria_control_measures na Meteorological_data:</w:t>
      </w:r>
      <w:r>
        <w:rPr>
          <w:rFonts w:cs="Times New Roman" w:ascii="Times New Roman" w:hAnsi="Times New Roman"/>
        </w:rPr>
        <w:t xml:space="preserve"> </w:t>
      </w:r>
    </w:p>
    <w:p>
      <w:pPr>
        <w:pStyle w:val="Normal"/>
        <w:jc w:val="both"/>
        <w:rPr>
          <w:rFonts w:ascii="Times New Roman" w:hAnsi="Times New Roman" w:cs="Times New Roman"/>
        </w:rPr>
      </w:pPr>
      <w:r>
        <w:rPr>
          <w:rFonts w:cs="Times New Roman" w:ascii="Times New Roman" w:hAnsi="Times New Roman"/>
          <w:b/>
          <w:bCs/>
        </w:rPr>
        <w:t>Malaria_surveillance_data</w:t>
      </w:r>
      <w:r>
        <w:rPr>
          <w:rFonts w:cs="Times New Roman" w:ascii="Times New Roman" w:hAnsi="Times New Roman"/>
        </w:rPr>
        <w:t>: district, year, month, week, true malaria cases, prop_male, prop_female, prop&lt;5 age, prop5_14 age, prop15_29 age, prop30_44, prop45+years age, averagelongitude, average latitude, index cases,  additional index cases, other household member, privatefacility, publicfacility, Students cases, Health Workers cases, Police Officers cases, Watchmen cases, Farmers cases, Fishermen cases, Unemployed cases, Housewives cases, Business Owners cases, and Others cases</w:t>
      </w:r>
    </w:p>
    <w:p>
      <w:pPr>
        <w:pStyle w:val="Normal"/>
        <w:jc w:val="both"/>
        <w:rPr>
          <w:rFonts w:ascii="Times New Roman" w:hAnsi="Times New Roman" w:cs="Times New Roman"/>
        </w:rPr>
      </w:pPr>
      <w:r>
        <w:rPr>
          <w:rFonts w:cs="Times New Roman" w:ascii="Times New Roman" w:hAnsi="Times New Roman"/>
          <w:b/>
          <w:bCs/>
        </w:rPr>
        <w:t>Malaria_control_measures:</w:t>
      </w:r>
      <w:r>
        <w:rPr>
          <w:rFonts w:cs="Times New Roman" w:ascii="Times New Roman" w:hAnsi="Times New Roman"/>
        </w:rPr>
        <w:t xml:space="preserve"> Effective_net_usage, IRS_coverage</w:t>
      </w:r>
    </w:p>
    <w:p>
      <w:pPr>
        <w:pStyle w:val="Normal"/>
        <w:jc w:val="both"/>
        <w:rPr>
          <w:rFonts w:ascii="Times New Roman" w:hAnsi="Times New Roman" w:cs="Times New Roman"/>
        </w:rPr>
      </w:pPr>
      <w:r>
        <w:rPr>
          <w:rFonts w:cs="Times New Roman" w:ascii="Times New Roman" w:hAnsi="Times New Roman"/>
          <w:b/>
          <w:bCs/>
        </w:rPr>
        <w:t>Meteorological data:</w:t>
      </w:r>
      <w:r>
        <w:rPr>
          <w:rFonts w:cs="Times New Roman" w:ascii="Times New Roman" w:hAnsi="Times New Roman"/>
        </w:rPr>
        <w:t xml:space="preserve"> district, year, month, week, rainfall, maximum temperature, minimum temperature, humidity</w:t>
      </w:r>
    </w:p>
    <w:p>
      <w:pPr>
        <w:pStyle w:val="Normal"/>
        <w:rPr>
          <w:b/>
          <w:bCs/>
        </w:rPr>
      </w:pPr>
      <w:r>
        <w:rPr>
          <w:b/>
          <w:bCs/>
        </w:rPr>
        <w:t>Mfano wa Formula</w:t>
      </w:r>
    </w:p>
    <w:p>
      <w:pPr>
        <w:pStyle w:val="Normal"/>
        <w:rPr/>
      </w:pPr>
      <w:r>
        <w:rPr/>
        <w:t>●</w:t>
      </w:r>
      <w:r>
        <w:rPr/>
        <w:t>prop_male=number of male/total cases of that week</w:t>
      </w:r>
    </w:p>
    <w:p>
      <w:pPr>
        <w:pStyle w:val="Normal"/>
        <w:rPr/>
      </w:pPr>
      <w:r>
        <w:rPr/>
        <w:t>●</w:t>
      </w:r>
      <w:r>
        <w:rPr/>
        <w:t>Prop_&lt;5=number of &gt;5/total case of that week</w:t>
      </w:r>
    </w:p>
    <w:p>
      <w:pPr>
        <w:pStyle w:val="Normal"/>
        <w:rPr>
          <w:b/>
          <w:bCs/>
          <w:color w:themeColor="accent1" w:themeShade="bf" w:val="2F5496"/>
        </w:rPr>
      </w:pPr>
      <w:r>
        <w:rPr>
          <w:b/>
          <w:bCs/>
          <w:color w:themeColor="accent1" w:themeShade="bf" w:val="2F5496"/>
        </w:rPr>
        <w:t xml:space="preserve">Net distribution zina effect over 2.15 years.  KUPATA </w:t>
      </w:r>
      <w:r>
        <w:rPr>
          <w:rFonts w:cs="Times New Roman" w:ascii="Times New Roman" w:hAnsi="Times New Roman"/>
        </w:rPr>
        <w:t xml:space="preserve">Effective_net_usage </w:t>
      </w:r>
      <w:r>
        <w:rPr>
          <w:b/>
          <w:bCs/>
          <w:color w:themeColor="accent1" w:themeShade="bf" w:val="2F5496"/>
        </w:rPr>
        <w:t xml:space="preserve">FORMULA ITAKAYOTUMIKA NI HII NILIYOANDIKA KWA RANGI YA ORANGE. UNAWEZA PIA KUYAPASTE HAYO MANENO YA </w:t>
      </w:r>
      <w:r>
        <w:rPr>
          <w:b/>
          <w:bCs/>
          <w:color w:themeColor="accent2" w:themeShade="bf" w:val="C45911"/>
        </w:rPr>
        <w:t>ORANGE</w:t>
      </w:r>
      <w:r>
        <w:rPr>
          <w:b/>
          <w:bCs/>
          <w:color w:themeColor="accent1" w:themeShade="bf" w:val="2F5496"/>
        </w:rPr>
        <w:t xml:space="preserve"> KWENYE CHART GPT IKAGENERATE EXCEL FILE YA </w:t>
      </w:r>
      <w:r>
        <w:rPr>
          <w:rFonts w:cs="Times New Roman" w:ascii="Times New Roman" w:hAnsi="Times New Roman"/>
        </w:rPr>
        <w:t>Effective_net_usage.</w:t>
      </w:r>
      <w:r>
        <w:rPr>
          <w:b/>
          <w:bCs/>
          <w:color w:themeColor="accent1" w:themeShade="bf" w:val="2F5496"/>
        </w:rPr>
        <w:t xml:space="preserve"> </w:t>
      </w:r>
    </w:p>
    <w:p>
      <w:pPr>
        <w:pStyle w:val="Normal"/>
        <w:rPr>
          <w:color w:themeColor="accent2" w:themeShade="bf" w:val="C45911"/>
        </w:rPr>
      </w:pPr>
      <w:r>
        <w:rPr>
          <w:color w:themeColor="accent2" w:themeShade="bf" w:val="C45911"/>
        </w:rPr>
        <w:t xml:space="preserve">Got it! Here’s a clear step-by-step approach to calculate </w:t>
      </w:r>
      <w:r>
        <w:rPr>
          <w:b/>
          <w:bCs/>
          <w:color w:themeColor="accent2" w:themeShade="bf" w:val="C45911"/>
        </w:rPr>
        <w:t>weekly effective_net_usage</w:t>
      </w:r>
      <w:r>
        <w:rPr>
          <w:color w:themeColor="accent2" w:themeShade="bf" w:val="C45911"/>
        </w:rPr>
        <w:t xml:space="preserve"> per district from your data:</w:t>
      </w:r>
    </w:p>
    <w:p>
      <w:pPr>
        <w:pStyle w:val="Normal"/>
        <w:rPr>
          <w:color w:themeColor="accent2" w:themeShade="bf" w:val="C45911"/>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themeColor="accent2" w:themeShade="bf" w:val="C45911"/>
        </w:rPr>
      </w:pPr>
      <w:r>
        <w:rPr>
          <w:b/>
          <w:bCs/>
          <w:color w:themeColor="accent2" w:themeShade="bf" w:val="C45911"/>
        </w:rPr>
        <w:t>Step 1: Prepare the data for each year</w:t>
      </w:r>
    </w:p>
    <w:tbl>
      <w:tblPr>
        <w:tblW w:w="6385"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561"/>
        <w:gridCol w:w="1728"/>
        <w:gridCol w:w="4096"/>
      </w:tblGrid>
      <w:tr>
        <w:trPr>
          <w:tblHeader w:val="true"/>
        </w:trPr>
        <w:tc>
          <w:tcPr>
            <w:tcW w:w="561" w:type="dxa"/>
            <w:tcBorders/>
            <w:vAlign w:val="center"/>
          </w:tcPr>
          <w:p>
            <w:pPr>
              <w:pStyle w:val="Normal"/>
              <w:spacing w:before="0" w:after="160"/>
              <w:rPr>
                <w:b/>
                <w:bCs/>
                <w:color w:themeColor="accent2" w:themeShade="bf" w:val="C45911"/>
              </w:rPr>
            </w:pPr>
            <w:r>
              <w:rPr>
                <w:b/>
                <w:bCs/>
                <w:color w:themeColor="accent2" w:themeShade="bf" w:val="C45911"/>
              </w:rPr>
              <w:t>Year</w:t>
            </w:r>
          </w:p>
        </w:tc>
        <w:tc>
          <w:tcPr>
            <w:tcW w:w="1728" w:type="dxa"/>
            <w:tcBorders/>
            <w:vAlign w:val="center"/>
          </w:tcPr>
          <w:p>
            <w:pPr>
              <w:pStyle w:val="Normal"/>
              <w:spacing w:before="0" w:after="160"/>
              <w:rPr>
                <w:b/>
                <w:bCs/>
                <w:color w:themeColor="accent2" w:themeShade="bf" w:val="C45911"/>
              </w:rPr>
            </w:pPr>
            <w:r>
              <w:rPr>
                <w:b/>
                <w:bCs/>
                <w:color w:themeColor="accent2" w:themeShade="bf" w:val="C45911"/>
              </w:rPr>
              <w:t>Net_Distribution</w:t>
            </w:r>
          </w:p>
        </w:tc>
        <w:tc>
          <w:tcPr>
            <w:tcW w:w="4096" w:type="dxa"/>
            <w:tcBorders/>
            <w:vAlign w:val="center"/>
          </w:tcPr>
          <w:p>
            <w:pPr>
              <w:pStyle w:val="Normal"/>
              <w:spacing w:before="0" w:after="160"/>
              <w:rPr>
                <w:b/>
                <w:bCs/>
                <w:color w:themeColor="accent2" w:themeShade="bf" w:val="C45911"/>
              </w:rPr>
            </w:pPr>
            <w:r>
              <w:rPr>
                <w:b/>
                <w:bCs/>
                <w:color w:themeColor="accent2" w:themeShade="bf" w:val="C45911"/>
              </w:rPr>
              <w:t>Weeks of Lifespan Coverage (112 weeks)</w:t>
            </w:r>
          </w:p>
        </w:tc>
      </w:tr>
      <w:tr>
        <w:trPr/>
        <w:tc>
          <w:tcPr>
            <w:tcW w:w="561" w:type="dxa"/>
            <w:tcBorders/>
            <w:vAlign w:val="center"/>
          </w:tcPr>
          <w:p>
            <w:pPr>
              <w:pStyle w:val="Normal"/>
              <w:spacing w:before="0" w:after="160"/>
              <w:rPr>
                <w:color w:themeColor="accent2" w:themeShade="bf" w:val="C45911"/>
              </w:rPr>
            </w:pPr>
            <w:r>
              <w:rPr>
                <w:color w:themeColor="accent2" w:themeShade="bf" w:val="C45911"/>
              </w:rPr>
              <w:t>2018</w:t>
            </w:r>
          </w:p>
        </w:tc>
        <w:tc>
          <w:tcPr>
            <w:tcW w:w="1728" w:type="dxa"/>
            <w:tcBorders/>
            <w:vAlign w:val="center"/>
          </w:tcPr>
          <w:p>
            <w:pPr>
              <w:pStyle w:val="Normal"/>
              <w:spacing w:before="0" w:after="160"/>
              <w:rPr>
                <w:color w:themeColor="accent2" w:themeShade="bf" w:val="C45911"/>
              </w:rPr>
            </w:pPr>
            <w:r>
              <w:rPr>
                <w:color w:themeColor="accent2" w:themeShade="bf" w:val="C45911"/>
              </w:rPr>
              <w:t>178,072</w:t>
            </w:r>
          </w:p>
        </w:tc>
        <w:tc>
          <w:tcPr>
            <w:tcW w:w="4096" w:type="dxa"/>
            <w:tcBorders/>
            <w:vAlign w:val="center"/>
          </w:tcPr>
          <w:p>
            <w:pPr>
              <w:pStyle w:val="Normal"/>
              <w:spacing w:before="0" w:after="160"/>
              <w:rPr>
                <w:color w:themeColor="accent2" w:themeShade="bf" w:val="C45911"/>
              </w:rPr>
            </w:pPr>
            <w:r>
              <w:rPr>
                <w:color w:themeColor="accent2" w:themeShade="bf" w:val="C45911"/>
              </w:rPr>
              <w:t>Weeks 1 to 112 (2018 + part of 2019)</w:t>
            </w:r>
          </w:p>
        </w:tc>
      </w:tr>
      <w:tr>
        <w:trPr/>
        <w:tc>
          <w:tcPr>
            <w:tcW w:w="561" w:type="dxa"/>
            <w:tcBorders/>
            <w:vAlign w:val="center"/>
          </w:tcPr>
          <w:p>
            <w:pPr>
              <w:pStyle w:val="Normal"/>
              <w:spacing w:before="0" w:after="160"/>
              <w:rPr>
                <w:color w:themeColor="accent2" w:themeShade="bf" w:val="C45911"/>
              </w:rPr>
            </w:pPr>
            <w:r>
              <w:rPr>
                <w:color w:themeColor="accent2" w:themeShade="bf" w:val="C45911"/>
              </w:rPr>
              <w:t>2019</w:t>
            </w:r>
          </w:p>
        </w:tc>
        <w:tc>
          <w:tcPr>
            <w:tcW w:w="1728" w:type="dxa"/>
            <w:tcBorders/>
            <w:vAlign w:val="center"/>
          </w:tcPr>
          <w:p>
            <w:pPr>
              <w:pStyle w:val="Normal"/>
              <w:spacing w:before="0" w:after="160"/>
              <w:rPr>
                <w:color w:themeColor="accent2" w:themeShade="bf" w:val="C45911"/>
              </w:rPr>
            </w:pPr>
            <w:r>
              <w:rPr>
                <w:color w:themeColor="accent2" w:themeShade="bf" w:val="C45911"/>
              </w:rPr>
              <w:t>222,374</w:t>
            </w:r>
          </w:p>
        </w:tc>
        <w:tc>
          <w:tcPr>
            <w:tcW w:w="4096" w:type="dxa"/>
            <w:tcBorders/>
            <w:vAlign w:val="center"/>
          </w:tcPr>
          <w:p>
            <w:pPr>
              <w:pStyle w:val="Normal"/>
              <w:spacing w:before="0" w:after="160"/>
              <w:rPr>
                <w:color w:themeColor="accent2" w:themeShade="bf" w:val="C45911"/>
              </w:rPr>
            </w:pPr>
            <w:r>
              <w:rPr>
                <w:color w:themeColor="accent2" w:themeShade="bf" w:val="C45911"/>
              </w:rPr>
              <w:t>Weeks 1 to 112 (2019 + part of 2020)</w:t>
            </w:r>
          </w:p>
        </w:tc>
      </w:tr>
      <w:tr>
        <w:trPr/>
        <w:tc>
          <w:tcPr>
            <w:tcW w:w="561" w:type="dxa"/>
            <w:tcBorders/>
            <w:vAlign w:val="center"/>
          </w:tcPr>
          <w:p>
            <w:pPr>
              <w:pStyle w:val="Normal"/>
              <w:spacing w:before="0" w:after="160"/>
              <w:rPr>
                <w:color w:themeColor="accent2" w:themeShade="bf" w:val="C45911"/>
              </w:rPr>
            </w:pPr>
            <w:r>
              <w:rPr>
                <w:color w:themeColor="accent2" w:themeShade="bf" w:val="C45911"/>
              </w:rPr>
              <w:t>2020</w:t>
            </w:r>
          </w:p>
        </w:tc>
        <w:tc>
          <w:tcPr>
            <w:tcW w:w="1728" w:type="dxa"/>
            <w:tcBorders/>
            <w:vAlign w:val="center"/>
          </w:tcPr>
          <w:p>
            <w:pPr>
              <w:pStyle w:val="Normal"/>
              <w:spacing w:before="0" w:after="160"/>
              <w:rPr>
                <w:color w:themeColor="accent2" w:themeShade="bf" w:val="C45911"/>
              </w:rPr>
            </w:pPr>
            <w:r>
              <w:rPr>
                <w:color w:themeColor="accent2" w:themeShade="bf" w:val="C45911"/>
              </w:rPr>
              <w:t>415,012</w:t>
            </w:r>
          </w:p>
        </w:tc>
        <w:tc>
          <w:tcPr>
            <w:tcW w:w="4096" w:type="dxa"/>
            <w:tcBorders/>
            <w:vAlign w:val="center"/>
          </w:tcPr>
          <w:p>
            <w:pPr>
              <w:pStyle w:val="Normal"/>
              <w:spacing w:before="0" w:after="160"/>
              <w:rPr>
                <w:color w:themeColor="accent2" w:themeShade="bf" w:val="C45911"/>
              </w:rPr>
            </w:pPr>
            <w:r>
              <w:rPr>
                <w:color w:themeColor="accent2" w:themeShade="bf" w:val="C45911"/>
              </w:rPr>
              <w:t>Weeks 1 to 112 (2020 + part of 2021)</w:t>
            </w:r>
          </w:p>
        </w:tc>
      </w:tr>
      <w:tr>
        <w:trPr/>
        <w:tc>
          <w:tcPr>
            <w:tcW w:w="561" w:type="dxa"/>
            <w:tcBorders/>
            <w:vAlign w:val="center"/>
          </w:tcPr>
          <w:p>
            <w:pPr>
              <w:pStyle w:val="Normal"/>
              <w:spacing w:before="0" w:after="160"/>
              <w:rPr>
                <w:color w:themeColor="accent2" w:themeShade="bf" w:val="C45911"/>
              </w:rPr>
            </w:pPr>
            <w:r>
              <w:rPr>
                <w:color w:themeColor="accent2" w:themeShade="bf" w:val="C45911"/>
              </w:rPr>
              <w:t>2021</w:t>
            </w:r>
          </w:p>
        </w:tc>
        <w:tc>
          <w:tcPr>
            <w:tcW w:w="1728" w:type="dxa"/>
            <w:tcBorders/>
            <w:vAlign w:val="center"/>
          </w:tcPr>
          <w:p>
            <w:pPr>
              <w:pStyle w:val="Normal"/>
              <w:spacing w:before="0" w:after="160"/>
              <w:rPr>
                <w:color w:themeColor="accent2" w:themeShade="bf" w:val="C45911"/>
              </w:rPr>
            </w:pPr>
            <w:r>
              <w:rPr>
                <w:color w:themeColor="accent2" w:themeShade="bf" w:val="C45911"/>
              </w:rPr>
              <w:t>878,264</w:t>
            </w:r>
          </w:p>
        </w:tc>
        <w:tc>
          <w:tcPr>
            <w:tcW w:w="4096" w:type="dxa"/>
            <w:tcBorders/>
            <w:vAlign w:val="center"/>
          </w:tcPr>
          <w:p>
            <w:pPr>
              <w:pStyle w:val="Normal"/>
              <w:spacing w:before="0" w:after="160"/>
              <w:rPr>
                <w:color w:themeColor="accent2" w:themeShade="bf" w:val="C45911"/>
              </w:rPr>
            </w:pPr>
            <w:r>
              <w:rPr>
                <w:color w:themeColor="accent2" w:themeShade="bf" w:val="C45911"/>
              </w:rPr>
              <w:t>Weeks 1 to 112 (2021 + part of 2022)</w:t>
            </w:r>
          </w:p>
        </w:tc>
      </w:tr>
      <w:tr>
        <w:trPr/>
        <w:tc>
          <w:tcPr>
            <w:tcW w:w="561" w:type="dxa"/>
            <w:tcBorders/>
            <w:vAlign w:val="center"/>
          </w:tcPr>
          <w:p>
            <w:pPr>
              <w:pStyle w:val="Normal"/>
              <w:spacing w:before="0" w:after="160"/>
              <w:rPr>
                <w:color w:themeColor="accent2" w:themeShade="bf" w:val="C45911"/>
              </w:rPr>
            </w:pPr>
            <w:r>
              <w:rPr>
                <w:color w:themeColor="accent2" w:themeShade="bf" w:val="C45911"/>
              </w:rPr>
              <w:t>2022</w:t>
            </w:r>
          </w:p>
        </w:tc>
        <w:tc>
          <w:tcPr>
            <w:tcW w:w="1728" w:type="dxa"/>
            <w:tcBorders/>
            <w:vAlign w:val="center"/>
          </w:tcPr>
          <w:p>
            <w:pPr>
              <w:pStyle w:val="Normal"/>
              <w:spacing w:before="0" w:after="160"/>
              <w:rPr>
                <w:color w:themeColor="accent2" w:themeShade="bf" w:val="C45911"/>
              </w:rPr>
            </w:pPr>
            <w:r>
              <w:rPr>
                <w:color w:themeColor="accent2" w:themeShade="bf" w:val="C45911"/>
              </w:rPr>
              <w:t>0 (assumed)</w:t>
            </w:r>
          </w:p>
        </w:tc>
        <w:tc>
          <w:tcPr>
            <w:tcW w:w="4096" w:type="dxa"/>
            <w:tcBorders/>
            <w:vAlign w:val="center"/>
          </w:tcPr>
          <w:p>
            <w:pPr>
              <w:pStyle w:val="Normal"/>
              <w:spacing w:before="0" w:after="160"/>
              <w:rPr>
                <w:color w:themeColor="accent2" w:themeShade="bf" w:val="C45911"/>
              </w:rPr>
            </w:pPr>
            <w:r>
              <w:rPr>
                <w:color w:themeColor="accent2" w:themeShade="bf" w:val="C45911"/>
              </w:rPr>
              <w:t>No nets distributed</w:t>
            </w:r>
          </w:p>
        </w:tc>
      </w:tr>
      <w:tr>
        <w:trPr/>
        <w:tc>
          <w:tcPr>
            <w:tcW w:w="561" w:type="dxa"/>
            <w:tcBorders/>
            <w:vAlign w:val="center"/>
          </w:tcPr>
          <w:p>
            <w:pPr>
              <w:pStyle w:val="Normal"/>
              <w:spacing w:before="0" w:after="160"/>
              <w:rPr>
                <w:color w:themeColor="accent2" w:themeShade="bf" w:val="C45911"/>
              </w:rPr>
            </w:pPr>
            <w:r>
              <w:rPr>
                <w:color w:themeColor="accent2" w:themeShade="bf" w:val="C45911"/>
              </w:rPr>
              <w:t>2023</w:t>
            </w:r>
          </w:p>
        </w:tc>
        <w:tc>
          <w:tcPr>
            <w:tcW w:w="1728" w:type="dxa"/>
            <w:tcBorders/>
            <w:vAlign w:val="center"/>
          </w:tcPr>
          <w:p>
            <w:pPr>
              <w:pStyle w:val="Normal"/>
              <w:spacing w:before="0" w:after="160"/>
              <w:rPr>
                <w:color w:themeColor="accent2" w:themeShade="bf" w:val="C45911"/>
              </w:rPr>
            </w:pPr>
            <w:r>
              <w:rPr>
                <w:color w:themeColor="accent2" w:themeShade="bf" w:val="C45911"/>
              </w:rPr>
              <w:t>248,000</w:t>
            </w:r>
          </w:p>
        </w:tc>
        <w:tc>
          <w:tcPr>
            <w:tcW w:w="4096" w:type="dxa"/>
            <w:tcBorders/>
            <w:vAlign w:val="center"/>
          </w:tcPr>
          <w:p>
            <w:pPr>
              <w:pStyle w:val="Normal"/>
              <w:spacing w:before="0" w:after="160"/>
              <w:rPr>
                <w:color w:themeColor="accent2" w:themeShade="bf" w:val="C45911"/>
              </w:rPr>
            </w:pPr>
            <w:r>
              <w:rPr>
                <w:color w:themeColor="accent2" w:themeShade="bf" w:val="C45911"/>
              </w:rPr>
              <w:t>Weeks 1 to 112 (2023 + part of 2024)</w:t>
            </w:r>
          </w:p>
        </w:tc>
      </w:tr>
    </w:tbl>
    <w:p>
      <w:pPr>
        <w:pStyle w:val="Normal"/>
        <w:rPr>
          <w:color w:themeColor="accent2" w:themeShade="bf" w:val="C45911"/>
        </w:rPr>
      </w:pPr>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themeColor="accent2" w:themeShade="bf" w:val="C45911"/>
        </w:rPr>
      </w:pPr>
      <w:r>
        <w:rPr>
          <w:b/>
          <w:bCs/>
          <w:color w:themeColor="accent2" w:themeShade="bf" w:val="C45911"/>
        </w:rPr>
        <w:t>Step 2: Calculate weekly net distribution per year</w:t>
      </w:r>
    </w:p>
    <w:p>
      <w:pPr>
        <w:pStyle w:val="Normal"/>
        <w:rPr>
          <w:color w:themeColor="accent2" w:themeShade="bf" w:val="C45911"/>
        </w:rPr>
      </w:pPr>
      <w:r>
        <w:rPr>
          <w:color w:themeColor="accent2" w:themeShade="bf" w:val="C45911"/>
        </w:rPr>
        <w:t>Each net is “active” and contributes evenly for 112 weeks:</w:t>
      </w:r>
    </w:p>
    <w:p>
      <w:pPr>
        <w:pStyle w:val="Normal"/>
        <w:rPr>
          <w:color w:themeColor="accent2" w:themeShade="bf" w:val="C45911"/>
        </w:rPr>
      </w:pPr>
      <w:r>
        <w:rPr>
          <w:color w:themeColor="accent2" w:themeShade="bf" w:val="C45911"/>
        </w:rPr>
        <w:t xml:space="preserve">\text{Weekly nets distributed in year} = \frac{\text{Net_Distribution}}{112} </w:t>
      </w:r>
    </w:p>
    <w:p>
      <w:pPr>
        <w:pStyle w:val="Normal"/>
        <w:rPr>
          <w:color w:themeColor="accent2" w:themeShade="bf" w:val="C45911"/>
        </w:rPr>
      </w:pPr>
      <w:r>
        <w:rPr>
          <w:color w:themeColor="accent2" w:themeShade="bf" w:val="C45911"/>
        </w:rPr>
        <w:t>Example for 2018:</w:t>
      </w:r>
    </w:p>
    <w:p>
      <w:pPr>
        <w:pStyle w:val="Normal"/>
        <w:rPr>
          <w:color w:themeColor="accent2" w:themeShade="bf" w:val="C45911"/>
        </w:rPr>
      </w:pPr>
      <w:r>
        <w:rPr>
          <w:color w:themeColor="accent2" w:themeShade="bf" w:val="C45911"/>
        </w:rPr>
        <w:t xml:space="preserve">178,072112≈1,590.28 nets per week\frac{178,072}{112} \approx 1,590.28 \text{ nets per week} </w:t>
      </w:r>
    </w:p>
    <w:p>
      <w:pPr>
        <w:pStyle w:val="Normal"/>
        <w:rPr>
          <w:color w:themeColor="accent2" w:themeShade="bf" w:val="C45911"/>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themeColor="accent2" w:themeShade="bf" w:val="C45911"/>
        </w:rPr>
      </w:pPr>
      <w:r>
        <w:rPr>
          <w:b/>
          <w:bCs/>
          <w:color w:themeColor="accent2" w:themeShade="bf" w:val="C45911"/>
        </w:rPr>
        <w:t>Step 3: Calculate weekly nets per district</w:t>
      </w:r>
    </w:p>
    <w:p>
      <w:pPr>
        <w:pStyle w:val="Normal"/>
        <w:rPr>
          <w:color w:themeColor="accent2" w:themeShade="bf" w:val="C45911"/>
        </w:rPr>
      </w:pPr>
      <w:r>
        <w:rPr>
          <w:color w:themeColor="accent2" w:themeShade="bf" w:val="C45911"/>
        </w:rPr>
        <w:t>Since distribution is evenly divided among 11 districts:</w:t>
      </w:r>
    </w:p>
    <w:p>
      <w:pPr>
        <w:pStyle w:val="Normal"/>
        <w:rPr>
          <w:color w:themeColor="accent2" w:themeShade="bf" w:val="C45911"/>
        </w:rPr>
      </w:pPr>
      <w:r>
        <w:rPr>
          <w:color w:themeColor="accent2" w:themeShade="bf" w:val="C45911"/>
        </w:rPr>
        <w:t xml:space="preserve">Weekly nets per district=Weekly nets distributed in year11\text{Weekly nets per district} = \frac{\text{Weekly nets distributed in year}}{11} </w:t>
      </w:r>
    </w:p>
    <w:p>
      <w:pPr>
        <w:pStyle w:val="Normal"/>
        <w:rPr>
          <w:color w:themeColor="accent2" w:themeShade="bf" w:val="C45911"/>
        </w:rPr>
      </w:pPr>
      <w:r>
        <w:rPr>
          <w:color w:themeColor="accent2" w:themeShade="bf" w:val="C45911"/>
        </w:rPr>
        <w:t>Example for 2018:</w:t>
      </w:r>
    </w:p>
    <w:p>
      <w:pPr>
        <w:pStyle w:val="Normal"/>
        <w:rPr>
          <w:color w:themeColor="accent2" w:themeShade="bf" w:val="C45911"/>
        </w:rPr>
      </w:pPr>
      <w:r>
        <w:rPr>
          <w:color w:themeColor="accent2" w:themeShade="bf" w:val="C45911"/>
        </w:rPr>
        <w:t xml:space="preserve">1,590.2811≈144.57 nets per district per week\frac{1,590.28}{11} \approx 144.57 \text{ nets per district per week} </w:t>
      </w:r>
    </w:p>
    <w:p>
      <w:pPr>
        <w:pStyle w:val="Normal"/>
        <w:rPr>
          <w:color w:themeColor="accent2" w:themeShade="bf" w:val="C45911"/>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themeColor="accent2" w:themeShade="bf" w:val="C45911"/>
        </w:rPr>
      </w:pPr>
      <w:r>
        <w:rPr>
          <w:b/>
          <w:bCs/>
          <w:color w:themeColor="accent2" w:themeShade="bf" w:val="C45911"/>
        </w:rPr>
        <w:t>Step 4: Allocate weekly nets to calendar weeks (overlapping years)</w:t>
      </w:r>
    </w:p>
    <w:p>
      <w:pPr>
        <w:pStyle w:val="Normal"/>
        <w:rPr>
          <w:color w:themeColor="accent2" w:themeShade="bf" w:val="C45911"/>
        </w:rPr>
      </w:pPr>
      <w:r>
        <w:rPr>
          <w:color w:themeColor="accent2" w:themeShade="bf" w:val="C45911"/>
        </w:rPr>
        <w:t xml:space="preserve">Because nets last 112 weeks from the distribution year, weekly effective nets for any given week will be the sum of </w:t>
      </w:r>
      <w:r>
        <w:rPr>
          <w:i/>
          <w:iCs/>
          <w:color w:themeColor="accent2" w:themeShade="bf" w:val="C45911"/>
        </w:rPr>
        <w:t>all</w:t>
      </w:r>
      <w:r>
        <w:rPr>
          <w:color w:themeColor="accent2" w:themeShade="bf" w:val="C45911"/>
        </w:rPr>
        <w:t xml:space="preserve"> overlapping distributions active at that time.</w:t>
      </w:r>
    </w:p>
    <w:p>
      <w:pPr>
        <w:pStyle w:val="Normal"/>
        <w:rPr>
          <w:color w:themeColor="accent2" w:themeShade="bf" w:val="C45911"/>
        </w:rPr>
      </w:pPr>
      <w:r>
        <w:rPr>
          <w:color w:themeColor="accent2" w:themeShade="bf" w:val="C45911"/>
        </w:rPr>
        <w:t>For example:</w:t>
      </w:r>
    </w:p>
    <w:p>
      <w:pPr>
        <w:pStyle w:val="Normal"/>
        <w:numPr>
          <w:ilvl w:val="0"/>
          <w:numId w:val="1"/>
        </w:numPr>
        <w:rPr>
          <w:color w:themeColor="accent2" w:themeShade="bf" w:val="C45911"/>
        </w:rPr>
      </w:pPr>
      <w:r>
        <w:rPr>
          <w:color w:themeColor="accent2" w:themeShade="bf" w:val="C45911"/>
        </w:rPr>
        <w:t>Week 1 of 2019 will include:</w:t>
      </w:r>
    </w:p>
    <w:p>
      <w:pPr>
        <w:pStyle w:val="Normal"/>
        <w:numPr>
          <w:ilvl w:val="1"/>
          <w:numId w:val="1"/>
        </w:numPr>
        <w:rPr>
          <w:color w:themeColor="accent2" w:themeShade="bf" w:val="C45911"/>
        </w:rPr>
      </w:pPr>
      <w:r>
        <w:rPr>
          <w:color w:themeColor="accent2" w:themeShade="bf" w:val="C45911"/>
        </w:rPr>
        <w:t>Week 53 of 2018 nets (last weeks of 2018 distribution)</w:t>
      </w:r>
    </w:p>
    <w:p>
      <w:pPr>
        <w:pStyle w:val="Normal"/>
        <w:numPr>
          <w:ilvl w:val="1"/>
          <w:numId w:val="1"/>
        </w:numPr>
        <w:rPr>
          <w:color w:themeColor="accent2" w:themeShade="bf" w:val="C45911"/>
        </w:rPr>
      </w:pPr>
      <w:r>
        <w:rPr>
          <w:color w:themeColor="accent2" w:themeShade="bf" w:val="C45911"/>
        </w:rPr>
        <w:t>Week 1 of 2019 nets</w:t>
      </w:r>
    </w:p>
    <w:p>
      <w:pPr>
        <w:pStyle w:val="Normal"/>
        <w:numPr>
          <w:ilvl w:val="0"/>
          <w:numId w:val="1"/>
        </w:numPr>
        <w:rPr>
          <w:color w:themeColor="accent2" w:themeShade="bf" w:val="C45911"/>
        </w:rPr>
      </w:pPr>
      <w:r>
        <w:rPr>
          <w:color w:themeColor="accent2" w:themeShade="bf" w:val="C45911"/>
        </w:rPr>
        <w:t>Similarly, week 30 of 2020 will include nets distributed in 2019 (weeks 19-112 still active) and nets distributed in 2020 (weeks 1-30).</w:t>
      </w:r>
    </w:p>
    <w:p>
      <w:pPr>
        <w:pStyle w:val="Normal"/>
        <w:rPr>
          <w:color w:themeColor="accent2" w:themeShade="bf" w:val="C45911"/>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themeColor="accent2" w:themeShade="bf" w:val="C45911"/>
        </w:rPr>
      </w:pPr>
      <w:r>
        <w:rPr>
          <w:b/>
          <w:bCs/>
          <w:color w:themeColor="accent2" w:themeShade="bf" w:val="C45911"/>
        </w:rPr>
        <w:t>Step 5: Construct the weekly effective_net_usage time series per district</w:t>
      </w:r>
    </w:p>
    <w:p>
      <w:pPr>
        <w:pStyle w:val="Normal"/>
        <w:numPr>
          <w:ilvl w:val="0"/>
          <w:numId w:val="2"/>
        </w:numPr>
        <w:rPr>
          <w:color w:themeColor="accent2" w:themeShade="bf" w:val="C45911"/>
        </w:rPr>
      </w:pPr>
      <w:r>
        <w:rPr>
          <w:color w:themeColor="accent2" w:themeShade="bf" w:val="C45911"/>
        </w:rPr>
        <w:t>For each week, sum the weekly nets active from the previous 112 weeks of distribution data</w:t>
      </w:r>
    </w:p>
    <w:p>
      <w:pPr>
        <w:pStyle w:val="Normal"/>
        <w:numPr>
          <w:ilvl w:val="0"/>
          <w:numId w:val="2"/>
        </w:numPr>
        <w:rPr>
          <w:color w:themeColor="accent2" w:themeShade="bf" w:val="C45911"/>
        </w:rPr>
      </w:pPr>
      <w:r>
        <w:rPr>
          <w:color w:themeColor="accent2" w:themeShade="bf" w:val="C45911"/>
        </w:rPr>
        <w:t xml:space="preserve">This gives you the </w:t>
      </w:r>
      <w:r>
        <w:rPr>
          <w:b/>
          <w:bCs/>
          <w:color w:themeColor="accent2" w:themeShade="bf" w:val="C45911"/>
        </w:rPr>
        <w:t>effective weekly net usage per district</w:t>
      </w:r>
    </w:p>
    <w:p>
      <w:pPr>
        <w:pStyle w:val="Normal"/>
        <w:rPr>
          <w:color w:themeColor="accent2" w:themeShade="bf" w:val="C45911"/>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themeColor="accent2" w:val="ED7D31"/>
        </w:rPr>
      </w:pPr>
      <w:r>
        <w:rPr>
          <w:b/>
          <w:bCs/>
          <w:color w:themeColor="accent2" w:themeShade="bf" w:val="C45911"/>
        </w:rPr>
        <w:t>Would you like me to prepare this calculation as a Python script or a detailed Excel formula setup?</w:t>
      </w:r>
    </w:p>
    <w:p>
      <w:pPr>
        <w:pStyle w:val="Normal"/>
        <w:rPr>
          <w:b/>
          <w:bCs/>
        </w:rPr>
      </w:pPr>
      <w:r>
        <w:rPr>
          <w:b/>
          <w:bCs/>
        </w:rPr>
        <w:t xml:space="preserve">Create a malaria outbreak column BY USING </w:t>
      </w:r>
      <w:r>
        <w:rPr>
          <w:b/>
          <w:bCs/>
          <w:color w:val="C00000"/>
        </w:rPr>
        <w:t xml:space="preserve">mean+2 standard deviations </w:t>
      </w:r>
      <w:r>
        <w:rPr>
          <w:b/>
          <w:bCs/>
        </w:rPr>
        <w:t>KUINA HII FORMULA VIZURI JINSI YA KUCALCULATE a malaria outbreak  YA PASTE MANENO YA RANGI YA</w:t>
      </w:r>
      <w:r>
        <w:rPr>
          <w:b/>
          <w:bCs/>
          <w:color w:val="7030A0"/>
        </w:rPr>
        <w:t xml:space="preserve"> ZAMBARAU </w:t>
      </w:r>
      <w:r>
        <w:rPr>
          <w:b/>
          <w:bCs/>
        </w:rPr>
        <w:t xml:space="preserve">HAPO CHINI </w:t>
      </w:r>
    </w:p>
    <w:p>
      <w:pPr>
        <w:pStyle w:val="Normal"/>
        <w:rPr>
          <w:b/>
          <w:bCs/>
          <w:color w:val="7030A0"/>
        </w:rPr>
      </w:pPr>
      <w:r>
        <w:rPr>
          <w:b/>
          <w:bCs/>
          <w:color w:val="7030A0"/>
        </w:rPr>
        <w:t>Malaria Outbreak Definition and Formula</w:t>
      </w:r>
    </w:p>
    <w:p>
      <w:pPr>
        <w:pStyle w:val="Normal"/>
        <w:rPr>
          <w:color w:val="7030A0"/>
        </w:rPr>
      </w:pPr>
      <w:r>
        <w:rPr>
          <w:color w:val="7030A0"/>
        </w:rPr>
        <w:t xml:space="preserve">A </w:t>
      </w:r>
      <w:r>
        <w:rPr>
          <w:b/>
          <w:bCs/>
          <w:color w:val="7030A0"/>
        </w:rPr>
        <w:t>malaria outbreak</w:t>
      </w:r>
      <w:r>
        <w:rPr>
          <w:color w:val="7030A0"/>
        </w:rPr>
        <w:t xml:space="preserve"> in a given week ttt and district is defined based on the following operational rule:</w:t>
      </w:r>
    </w:p>
    <w:p>
      <w:pPr>
        <w:pStyle w:val="Normal"/>
        <w:rPr>
          <w:color w:val="7030A0"/>
        </w:rPr>
      </w:pPr>
      <w:r>
        <w:rPr>
          <w:color w:val="7030A0"/>
        </w:rPr>
        <w:t xml:space="preserve">An outbreak occurs when the number of malaria cases reported in week ttt exceeds the </w:t>
      </w:r>
      <w:r>
        <w:rPr>
          <w:b/>
          <w:bCs/>
          <w:color w:val="7030A0"/>
        </w:rPr>
        <w:t>sum</w:t>
      </w:r>
      <w:r>
        <w:rPr>
          <w:color w:val="7030A0"/>
        </w:rPr>
        <w:t xml:space="preserve"> of the </w:t>
      </w:r>
      <w:r>
        <w:rPr>
          <w:b/>
          <w:bCs/>
          <w:color w:val="7030A0"/>
        </w:rPr>
        <w:t>moving average</w:t>
      </w:r>
      <w:r>
        <w:rPr>
          <w:color w:val="7030A0"/>
        </w:rPr>
        <w:t xml:space="preserve"> of three consecutive 4-week periods plus </w:t>
      </w:r>
      <w:r>
        <w:rPr>
          <w:b/>
          <w:bCs/>
          <w:color w:val="7030A0"/>
        </w:rPr>
        <w:t>two standard deviations</w:t>
      </w:r>
      <w:r>
        <w:rPr>
          <w:color w:val="7030A0"/>
        </w:rPr>
        <w:t xml:space="preserve"> of malaria cases from the previous 4 weeks.</w:t>
      </w:r>
    </w:p>
    <w:p>
      <w:pPr>
        <w:pStyle w:val="Normal"/>
        <w:rPr>
          <w:color w:val="7030A0"/>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color w:val="7030A0"/>
        </w:rPr>
      </w:pPr>
      <w:r>
        <w:rPr>
          <w:b/>
          <w:bCs/>
          <w:color w:val="7030A0"/>
        </w:rPr>
        <w:t>Step-by-step formula:</w:t>
      </w:r>
    </w:p>
    <w:p>
      <w:pPr>
        <w:pStyle w:val="Normal"/>
        <w:rPr>
          <w:color w:val="7030A0"/>
        </w:rPr>
      </w:pPr>
      <w:r>
        <w:rPr>
          <w:color w:val="7030A0"/>
        </w:rPr>
        <w:t>Let:</w:t>
      </w:r>
    </w:p>
    <w:p>
      <w:pPr>
        <w:pStyle w:val="Normal"/>
        <w:numPr>
          <w:ilvl w:val="0"/>
          <w:numId w:val="3"/>
        </w:numPr>
        <w:rPr>
          <w:color w:val="7030A0"/>
        </w:rPr>
      </w:pPr>
      <w:r>
        <w:rPr>
          <w:color w:val="7030A0"/>
        </w:rPr>
        <w:t>MtM_tMt​ = number of malaria cases reported in week ttt.</w:t>
      </w:r>
    </w:p>
    <w:p>
      <w:pPr>
        <w:pStyle w:val="Normal"/>
        <w:numPr>
          <w:ilvl w:val="0"/>
          <w:numId w:val="3"/>
        </w:numPr>
        <w:rPr>
          <w:color w:val="7030A0"/>
        </w:rPr>
      </w:pPr>
      <w:r>
        <w:rPr>
          <w:color w:val="7030A0"/>
        </w:rPr>
        <w:t>W=4W = 4W=4 (weeks used for averaging).</w:t>
      </w:r>
    </w:p>
    <w:p>
      <w:pPr>
        <w:pStyle w:val="Normal"/>
        <w:numPr>
          <w:ilvl w:val="0"/>
          <w:numId w:val="3"/>
        </w:numPr>
        <w:rPr>
          <w:color w:val="7030A0"/>
        </w:rPr>
      </w:pPr>
      <w:r>
        <w:rPr>
          <w:color w:val="7030A0"/>
        </w:rPr>
        <w:t>M‾ab\overline{M}_{a}^{b}Mab​ = average malaria cases from week aaa to week bbb.</w:t>
      </w:r>
    </w:p>
    <w:p>
      <w:pPr>
        <w:pStyle w:val="Normal"/>
        <w:numPr>
          <w:ilvl w:val="0"/>
          <w:numId w:val="3"/>
        </w:numPr>
        <w:rPr>
          <w:color w:val="7030A0"/>
        </w:rPr>
      </w:pPr>
      <w:r>
        <w:rPr>
          <w:color w:val="7030A0"/>
        </w:rPr>
        <w:t>σab\sigma_{a}^{b}σab​ = standard deviation of malaria cases from week aaa to week bbb.</w:t>
      </w:r>
    </w:p>
    <w:p>
      <w:pPr>
        <w:pStyle w:val="Normal"/>
        <w:numPr>
          <w:ilvl w:val="0"/>
          <w:numId w:val="4"/>
        </w:numPr>
        <w:rPr>
          <w:color w:val="7030A0"/>
        </w:rPr>
      </w:pPr>
      <w:r>
        <w:rPr>
          <w:color w:val="7030A0"/>
        </w:rPr>
        <w:t xml:space="preserve">Calculate the average malaria cases for the </w:t>
      </w:r>
      <w:r>
        <w:rPr>
          <w:b/>
          <w:bCs/>
          <w:color w:val="7030A0"/>
        </w:rPr>
        <w:t>previous 4 weeks</w:t>
      </w:r>
      <w:r>
        <w:rPr>
          <w:color w:val="7030A0"/>
        </w:rPr>
        <w:t xml:space="preserve"> (weeks t−1t-1t−1 to t−4t-4t−4):</w:t>
      </w:r>
    </w:p>
    <w:p>
      <w:pPr>
        <w:pStyle w:val="Normal"/>
        <w:rPr>
          <w:color w:val="7030A0"/>
        </w:rPr>
      </w:pPr>
      <w:r>
        <w:rPr>
          <w:color w:val="7030A0"/>
        </w:rPr>
        <w:t xml:space="preserve">M‾t−1t−4=Mt−1+Mt−2+Mt−3+Mt−44\overline{M}_{t-1}^{t-4} = \frac{M_{t-1} + M_{t-2} + M_{t-3} + M_{t-4}}{4}Mt−1t−4​=4Mt−1​+Mt−2​+Mt−3​+Mt−4​​ </w:t>
      </w:r>
    </w:p>
    <w:p>
      <w:pPr>
        <w:pStyle w:val="Normal"/>
        <w:numPr>
          <w:ilvl w:val="0"/>
          <w:numId w:val="5"/>
        </w:numPr>
        <w:rPr>
          <w:color w:val="7030A0"/>
        </w:rPr>
      </w:pPr>
      <w:r>
        <w:rPr>
          <w:color w:val="7030A0"/>
        </w:rPr>
        <w:t xml:space="preserve">Calculate the standard deviation of malaria cases for the </w:t>
      </w:r>
      <w:r>
        <w:rPr>
          <w:b/>
          <w:bCs/>
          <w:color w:val="7030A0"/>
        </w:rPr>
        <w:t>previous 4 weeks</w:t>
      </w:r>
      <w:r>
        <w:rPr>
          <w:color w:val="7030A0"/>
        </w:rPr>
        <w:t>:</w:t>
      </w:r>
    </w:p>
    <w:p>
      <w:pPr>
        <w:pStyle w:val="Normal"/>
        <w:rPr>
          <w:color w:val="7030A0"/>
        </w:rPr>
      </w:pPr>
      <w:r>
        <w:rPr>
          <w:color w:val="7030A0"/>
        </w:rPr>
        <w:t xml:space="preserve">σt−1t−4=std(Mt−1,Mt−2,Mt−3,Mt−4)\sigma_{t-1}^{t-4} = \text{std}(M_{t-1}, M_{t-2}, M_{t-3}, M_{t-4})σt−1t−4​=std(Mt−1​,Mt−2​,Mt−3​,Mt−4​) </w:t>
      </w:r>
    </w:p>
    <w:p>
      <w:pPr>
        <w:pStyle w:val="Normal"/>
        <w:numPr>
          <w:ilvl w:val="0"/>
          <w:numId w:val="6"/>
        </w:numPr>
        <w:rPr>
          <w:color w:val="7030A0"/>
        </w:rPr>
      </w:pPr>
      <w:r>
        <w:rPr>
          <w:color w:val="7030A0"/>
        </w:rPr>
        <w:t xml:space="preserve">Calculate the moving average of the </w:t>
      </w:r>
      <w:r>
        <w:rPr>
          <w:b/>
          <w:bCs/>
          <w:color w:val="7030A0"/>
        </w:rPr>
        <w:t>three consecutive 4-week averages</w:t>
      </w:r>
      <w:r>
        <w:rPr>
          <w:color w:val="7030A0"/>
        </w:rPr>
        <w:t xml:space="preserve"> preceding week ttt:</w:t>
      </w:r>
    </w:p>
    <w:p>
      <w:pPr>
        <w:pStyle w:val="Normal"/>
        <w:rPr>
          <w:color w:val="7030A0"/>
        </w:rPr>
      </w:pPr>
      <w:r>
        <w:rPr>
          <w:color w:val="7030A0"/>
        </w:rPr>
        <w:t xml:space="preserve">MAt=M‾t−1t−4+M‾t−5t−8+M‾t−9t−123MA_t = \frac{ \overline{M}_{t-1}^{t-4} + \overline{M}_{t-5}^{t-8} + \overline{M}_{t-9}^{t-12} }{3}MAt​=3Mt−1t−4​+Mt−5t−8​+Mt−9t−12​​ </w:t>
      </w:r>
    </w:p>
    <w:p>
      <w:pPr>
        <w:pStyle w:val="Normal"/>
        <w:numPr>
          <w:ilvl w:val="0"/>
          <w:numId w:val="7"/>
        </w:numPr>
        <w:rPr>
          <w:color w:val="7030A0"/>
        </w:rPr>
      </w:pPr>
      <w:r>
        <w:rPr>
          <w:color w:val="7030A0"/>
        </w:rPr>
        <w:t xml:space="preserve">Calculate the </w:t>
      </w:r>
      <w:r>
        <w:rPr>
          <w:b/>
          <w:bCs/>
          <w:color w:val="7030A0"/>
        </w:rPr>
        <w:t>outbreak threshold</w:t>
      </w:r>
      <w:r>
        <w:rPr>
          <w:color w:val="7030A0"/>
        </w:rPr>
        <w:t>:</w:t>
      </w:r>
    </w:p>
    <w:p>
      <w:pPr>
        <w:pStyle w:val="Normal"/>
        <w:rPr>
          <w:color w:val="7030A0"/>
        </w:rPr>
      </w:pPr>
      <w:r>
        <w:rPr>
          <w:color w:val="7030A0"/>
        </w:rPr>
        <w:t xml:space="preserve">Thresholdt=MAt+2×σt−1t−4Threshold_t = MA_t + 2 \times \sigma_{t-1}^{t-4}Thresholdt​=MAt​+2×σt−1t−4​ </w:t>
      </w:r>
    </w:p>
    <w:p>
      <w:pPr>
        <w:pStyle w:val="Normal"/>
        <w:numPr>
          <w:ilvl w:val="0"/>
          <w:numId w:val="8"/>
        </w:numPr>
        <w:rPr>
          <w:color w:val="7030A0"/>
        </w:rPr>
      </w:pPr>
      <w:r>
        <w:rPr>
          <w:color w:val="7030A0"/>
        </w:rPr>
        <w:t xml:space="preserve">Define the </w:t>
      </w:r>
      <w:r>
        <w:rPr>
          <w:b/>
          <w:bCs/>
          <w:color w:val="7030A0"/>
        </w:rPr>
        <w:t>binary malaria outbreak variable</w:t>
      </w:r>
      <w:r>
        <w:rPr>
          <w:color w:val="7030A0"/>
        </w:rPr>
        <w:t xml:space="preserve"> OtO_tOt​ as:</w:t>
      </w:r>
    </w:p>
    <w:p>
      <w:pPr>
        <w:pStyle w:val="Normal"/>
        <w:rPr>
          <w:color w:val="7030A0"/>
        </w:rPr>
      </w:pPr>
      <w:r>
        <w:rPr>
          <w:color w:val="7030A0"/>
        </w:rPr>
        <w:t xml:space="preserve">Ot={1if Mt&gt;Thresholdt(Malaria Outbreak)0if Mt≤Thresholdt(No Outbreak)O_t = \begin{cases} 1 &amp; \text{if } M_t &gt; Threshold_t \quad \text{(Malaria Outbreak)} \\ 0 &amp; \text{if } M_t \leq Threshold_t \quad \text{(No Outbreak)} \end{cases}Ot​={10​if Mt​&gt;Thresholdt​(Malaria Outbreak)if Mt​≤Thresholdt​(No Outbreak)​ </w:t>
      </w:r>
    </w:p>
    <w:p>
      <w:pPr>
        <w:pStyle w:val="Normal"/>
        <w:rPr>
          <w:color w:val="7030A0"/>
        </w:rPr>
      </w:pPr>
      <w:r>
        <w:rPr>
          <w:b/>
          <w:bCs/>
        </w:rPr>
        <w:t xml:space="preserve">usisahau kuchora mchoro wa </w:t>
      </w:r>
      <w:r>
        <w:rPr>
          <w:b/>
          <w:bCs/>
          <w:color w:themeColor="accent2" w:themeShade="80" w:val="833C0B"/>
        </w:rPr>
        <w:t xml:space="preserve">distribution of malaria outbreak </w:t>
      </w:r>
      <w:r>
        <w:rPr>
          <w:b/>
          <w:bCs/>
        </w:rPr>
        <w:t>before</w:t>
      </w:r>
      <w:r>
        <w:rPr>
          <w:b/>
          <w:bCs/>
          <w:color w:themeColor="text1" w:val="000000"/>
        </w:rPr>
        <w:t xml:space="preserve"> </w:t>
      </w:r>
      <w:r>
        <w:rPr>
          <w:sz w:val="56"/>
          <w:szCs w:val="56"/>
        </w:rPr>
        <w:t>SMOTE</w:t>
      </w:r>
    </w:p>
    <w:p>
      <w:pPr>
        <w:pStyle w:val="Normal"/>
        <w:rPr/>
      </w:pPr>
      <w:r>
        <w:rPr/>
        <w:t>KUNA KITU kinaitwa</w:t>
      </w:r>
      <w:r>
        <w:rPr>
          <w:sz w:val="56"/>
          <w:szCs w:val="56"/>
        </w:rPr>
        <w:t xml:space="preserve"> SMOTE</w:t>
      </w:r>
      <w:r>
        <w:rPr/>
        <w:t xml:space="preserve"> in data balance of target variable (MALARIA OUTBREAK)</w:t>
      </w:r>
    </w:p>
    <w:p>
      <w:pPr>
        <w:pStyle w:val="Normal"/>
        <w:jc w:val="both"/>
        <w:rPr>
          <w:rFonts w:ascii="Times New Roman" w:hAnsi="Times New Roman" w:cs="Times New Roman"/>
        </w:rPr>
      </w:pPr>
      <w:r>
        <w:rPr>
          <w:rFonts w:cs="Times New Roman" w:ascii="Times New Roman" w:hAnsi="Times New Roman"/>
          <w:b/>
          <w:bCs/>
          <w:color w:val="EE0000"/>
        </w:rPr>
        <w:t xml:space="preserve">then combine all 3 datasets:  Save it as </w:t>
      </w:r>
      <w:r>
        <w:rPr>
          <w:b/>
          <w:bCs/>
          <w:sz w:val="28"/>
          <w:szCs w:val="28"/>
        </w:rPr>
        <w:t>Malaria_prediction_dataset</w:t>
      </w:r>
      <w:r>
        <w:rPr>
          <w:rFonts w:cs="Times New Roman" w:ascii="Times New Roman" w:hAnsi="Times New Roman"/>
          <w:b/>
          <w:bCs/>
        </w:rPr>
        <w:t xml:space="preserve"> </w:t>
      </w:r>
      <w:r>
        <w:rPr>
          <w:rFonts w:cs="Times New Roman" w:ascii="Times New Roman" w:hAnsi="Times New Roman"/>
        </w:rPr>
        <w:t>that will contain:</w:t>
      </w:r>
    </w:p>
    <w:p>
      <w:pPr>
        <w:pStyle w:val="Normal"/>
        <w:jc w:val="both"/>
        <w:rPr>
          <w:rFonts w:ascii="Times New Roman" w:hAnsi="Times New Roman" w:cs="Times New Roman"/>
        </w:rPr>
      </w:pPr>
      <w:r>
        <w:rPr>
          <w:rFonts w:cs="Times New Roman" w:ascii="Times New Roman" w:hAnsi="Times New Roman"/>
        </w:rPr>
        <w:t>District, year, month, week, true_malaria_cases, prop_male, prop_female, prop_under_5_age, prop_5_14_age, prop_15_29_age, prop_30_44_age, prop_45_plus_years_age, average_longitude, average_latitude, index_cases, additional_index_cases, other_household_member, private_facility, public_facility, students_cases, health_workers_cases, police_officers_cases, watchmen_cases, farmers_cases, fishermen_cases, unemployed_cases, housewives_cases, business_owners_cases, others_cases, rainfall, maximum_temperature, minimum_temperature, humidity,  Effective_net_usage, IRS_coverage, malaria_outbreak</w:t>
      </w:r>
    </w:p>
    <w:p>
      <w:pPr>
        <w:pStyle w:val="Normal"/>
        <w:rPr/>
      </w:pPr>
      <w:r>
        <w:rPr/>
      </w:r>
    </w:p>
    <w:p>
      <w:pPr>
        <w:pStyle w:val="Normal"/>
        <w:rPr/>
      </w:pPr>
      <w:r>
        <w:rPr/>
        <w:t xml:space="preserve">Model inatakiwa ipredict kwa kipindi cha YANI PREDICTION HORIZON </w:t>
      </w:r>
      <w:r>
        <w:rPr>
          <w:color w:themeColor="accent2" w:themeShade="80" w:val="833C0B"/>
          <w:sz w:val="40"/>
          <w:szCs w:val="40"/>
        </w:rPr>
        <w:t>Use a</w:t>
      </w:r>
      <w:r>
        <w:rPr>
          <w:color w:themeColor="accent1" w:themeShade="bf" w:val="2F5496"/>
          <w:sz w:val="40"/>
          <w:szCs w:val="40"/>
        </w:rPr>
        <w:t xml:space="preserve"> </w:t>
      </w:r>
      <w:r>
        <w:rPr>
          <w:b/>
          <w:bCs/>
          <w:color w:themeColor="accent1" w:themeShade="bf" w:val="2F5496"/>
          <w:sz w:val="40"/>
          <w:szCs w:val="40"/>
        </w:rPr>
        <w:t>ONE WEEK-AHEAD.</w:t>
      </w:r>
      <w:r>
        <w:rPr/>
        <w:t>That means: the model predicts whether an outbreak will occur next week based on data from previous weeks.</w:t>
      </w:r>
    </w:p>
    <w:p>
      <w:pPr>
        <w:pStyle w:val="Normal"/>
        <w:spacing w:before="0" w:after="0"/>
        <w:rPr/>
      </w:pPr>
      <w:r>
        <w:rPr>
          <w:b/>
          <w:bCs/>
          <w:sz w:val="36"/>
          <w:szCs w:val="36"/>
        </w:rPr>
        <w:t>Feature Description</w:t>
      </w:r>
      <w:r>
        <w:rPr/>
        <w:t xml:space="preserve"> hapa tutavisualize data MICHORO MBALIMBALI ITATAKIWA KUANZIA KWENYE DATASET TULIYONAYO MFANO </w:t>
      </w:r>
    </w:p>
    <w:p>
      <w:pPr>
        <w:pStyle w:val="Normal"/>
        <w:spacing w:before="0" w:after="0"/>
        <w:rPr>
          <w:color w:themeColor="accent6" w:themeShade="bf" w:val="538135"/>
        </w:rPr>
      </w:pPr>
      <w:r>
        <w:rPr>
          <w:color w:themeColor="accent6" w:themeShade="bf" w:val="538135"/>
        </w:rPr>
        <w:t>figure 6: age group verses malaria cases</w:t>
      </w:r>
    </w:p>
    <w:p>
      <w:pPr>
        <w:pStyle w:val="Normal"/>
        <w:spacing w:before="0" w:after="0"/>
        <w:rPr>
          <w:color w:themeColor="accent6" w:themeShade="bf" w:val="538135"/>
        </w:rPr>
      </w:pPr>
      <w:r>
        <w:rPr>
          <w:color w:themeColor="accent6" w:themeShade="bf" w:val="538135"/>
        </w:rPr>
        <w:t xml:space="preserve">figure 7: weekly distribution of average malaria cases across districts. </w:t>
      </w:r>
    </w:p>
    <w:p>
      <w:pPr>
        <w:pStyle w:val="Normal"/>
        <w:spacing w:before="0" w:after="0"/>
        <w:rPr>
          <w:color w:themeColor="accent6" w:themeShade="bf" w:val="538135"/>
        </w:rPr>
      </w:pPr>
      <w:r>
        <w:rPr>
          <w:rFonts w:eastAsia="Times New Roman"/>
          <w:b/>
          <w:bCs/>
          <w:color w:themeColor="accent6" w:themeShade="bf" w:val="538135"/>
        </w:rPr>
        <w:t>Figure 8:</w:t>
      </w:r>
      <w:r>
        <w:rPr>
          <w:color w:themeColor="accent6" w:themeShade="bf" w:val="538135"/>
        </w:rPr>
        <w:t xml:space="preserve"> Malaria case trends from 2018 to 2023. </w:t>
      </w:r>
    </w:p>
    <w:p>
      <w:pPr>
        <w:pStyle w:val="Normal"/>
        <w:spacing w:before="0" w:after="0"/>
        <w:rPr>
          <w:color w:themeColor="accent6" w:themeShade="bf" w:val="538135"/>
        </w:rPr>
      </w:pPr>
      <w:r>
        <w:rPr>
          <w:rFonts w:eastAsia="Times New Roman"/>
          <w:b/>
          <w:bCs/>
          <w:color w:themeColor="accent6" w:themeShade="bf" w:val="538135"/>
        </w:rPr>
        <w:t>Figure 9:</w:t>
      </w:r>
      <w:r>
        <w:rPr>
          <w:color w:themeColor="accent6" w:themeShade="bf" w:val="538135"/>
        </w:rPr>
        <w:t xml:space="preserve"> Presentation of malaria case counts in relation to maximum temperature</w:t>
        <w:br/>
      </w:r>
      <w:r>
        <w:rPr>
          <w:rFonts w:eastAsia="Times New Roman"/>
          <w:b/>
          <w:bCs/>
          <w:color w:themeColor="accent6" w:themeShade="bf" w:val="538135"/>
        </w:rPr>
        <w:t>Figure 10:</w:t>
      </w:r>
      <w:r>
        <w:rPr>
          <w:color w:themeColor="accent6" w:themeShade="bf" w:val="538135"/>
        </w:rPr>
        <w:t xml:space="preserve"> Presentation of malaria case counts in relation to minimum temperature</w:t>
        <w:br/>
      </w:r>
      <w:r>
        <w:rPr>
          <w:rFonts w:eastAsia="Times New Roman"/>
          <w:b/>
          <w:bCs/>
          <w:color w:themeColor="accent6" w:themeShade="bf" w:val="538135"/>
        </w:rPr>
        <w:t>Figure 11:</w:t>
      </w:r>
      <w:r>
        <w:rPr>
          <w:color w:themeColor="accent6" w:themeShade="bf" w:val="538135"/>
        </w:rPr>
        <w:t xml:space="preserve"> Presentation of malaria case counts with humidity </w:t>
        <w:br/>
      </w:r>
      <w:r>
        <w:rPr>
          <w:rFonts w:eastAsia="Times New Roman"/>
          <w:b/>
          <w:bCs/>
          <w:color w:themeColor="accent6" w:themeShade="bf" w:val="538135"/>
        </w:rPr>
        <w:t>Figure 12:</w:t>
      </w:r>
      <w:r>
        <w:rPr>
          <w:color w:themeColor="accent6" w:themeShade="bf" w:val="538135"/>
        </w:rPr>
        <w:t xml:space="preserve"> Presentation of malaria case counts alongside effective net usage</w:t>
        <w:br/>
      </w:r>
      <w:r>
        <w:rPr>
          <w:rFonts w:eastAsia="Times New Roman"/>
          <w:b/>
          <w:bCs/>
          <w:color w:themeColor="accent6" w:themeShade="bf" w:val="538135"/>
        </w:rPr>
        <w:t>Figure 13:</w:t>
      </w:r>
      <w:r>
        <w:rPr>
          <w:color w:themeColor="accent6" w:themeShade="bf" w:val="538135"/>
        </w:rPr>
        <w:t xml:space="preserve"> Presentation of malaria case counts with IRS coverage</w:t>
      </w:r>
    </w:p>
    <w:p>
      <w:pPr>
        <w:pStyle w:val="Normal"/>
        <w:spacing w:before="0" w:after="0"/>
        <w:rPr>
          <w:color w:themeColor="accent6" w:themeShade="bf" w:val="538135"/>
        </w:rPr>
      </w:pPr>
      <w:r>
        <w:rPr>
          <w:color w:themeColor="accent6" w:themeShade="bf" w:val="538135"/>
        </w:rPr>
      </w:r>
    </w:p>
    <w:p>
      <w:pPr>
        <w:pStyle w:val="Normal"/>
        <w:spacing w:before="0" w:after="0"/>
        <w:rPr>
          <w:b/>
          <w:bCs/>
          <w:sz w:val="36"/>
          <w:szCs w:val="36"/>
        </w:rPr>
      </w:pPr>
      <w:r>
        <w:rPr>
          <w:b/>
          <w:bCs/>
          <w:sz w:val="36"/>
          <w:szCs w:val="36"/>
        </w:rPr>
        <w:t>Distribution of the features</w:t>
      </w:r>
    </w:p>
    <w:p>
      <w:pPr>
        <w:pStyle w:val="Normal"/>
        <w:spacing w:before="0" w:after="0"/>
        <w:rPr>
          <w:b/>
          <w:bCs/>
          <w:sz w:val="36"/>
          <w:szCs w:val="36"/>
        </w:rPr>
      </w:pPr>
      <w:r>
        <w:rPr>
          <w:b/>
          <w:bCs/>
          <w:sz w:val="36"/>
          <w:szCs w:val="36"/>
        </w:rPr>
        <w:t>Variables zifanyiwe kwanza skweness</w:t>
      </w:r>
    </w:p>
    <w:p>
      <w:pPr>
        <w:pStyle w:val="Normal"/>
        <w:spacing w:before="0" w:after="0"/>
        <w:rPr>
          <w:rFonts w:ascii="Times New Roman" w:hAnsi="Times New Roman" w:cs="Times New Roman"/>
        </w:rPr>
      </w:pPr>
      <w:r>
        <w:rPr>
          <w:rFonts w:cs="Times New Roman" w:ascii="Times New Roman" w:hAnsi="Times New Roman"/>
        </w:rPr>
        <w:t>Skewness measures the asymmetry of a data distribution around its mean.</w:t>
      </w:r>
    </w:p>
    <w:p>
      <w:pPr>
        <w:pStyle w:val="Normal"/>
        <w:spacing w:before="0" w:after="0"/>
        <w:rPr>
          <w:rFonts w:ascii="Times New Roman" w:hAnsi="Times New Roman" w:cs="Times New Roman"/>
        </w:rPr>
      </w:pPr>
      <w:r>
        <w:rPr>
          <w:rFonts w:cs="Times New Roman" w:ascii="Times New Roman" w:hAnsi="Times New Roman"/>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6"/>
        <w:gridCol w:w="1823"/>
        <w:gridCol w:w="5577"/>
      </w:tblGrid>
      <w:tr>
        <w:trPr/>
        <w:tc>
          <w:tcPr>
            <w:tcW w:w="1616" w:type="dxa"/>
            <w:tcBorders/>
          </w:tcPr>
          <w:p>
            <w:pPr>
              <w:pStyle w:val="Normal"/>
              <w:widowControl/>
              <w:spacing w:lineRule="auto" w:line="276" w:before="0" w:after="0"/>
              <w:jc w:val="left"/>
              <w:rPr>
                <w:rFonts w:ascii="Times New Roman" w:hAnsi="Times New Roman" w:cs="Times New Roman"/>
                <w:b/>
                <w:bCs/>
              </w:rPr>
            </w:pPr>
            <w:r>
              <w:rPr>
                <w:rFonts w:eastAsia="Calibri" w:cs="Times New Roman" w:ascii="Times New Roman" w:hAnsi="Times New Roman"/>
                <w:b/>
                <w:bCs/>
                <w:kern w:val="2"/>
                <w:sz w:val="24"/>
                <w:szCs w:val="24"/>
                <w:lang w:val="en-TZ" w:eastAsia="en-US" w:bidi="ar-SA"/>
              </w:rPr>
              <w:t>Skewness Value</w:t>
            </w:r>
          </w:p>
        </w:tc>
        <w:tc>
          <w:tcPr>
            <w:tcW w:w="1823" w:type="dxa"/>
            <w:tcBorders/>
          </w:tcPr>
          <w:p>
            <w:pPr>
              <w:pStyle w:val="Normal"/>
              <w:widowControl/>
              <w:spacing w:lineRule="auto" w:line="276" w:before="0" w:after="0"/>
              <w:jc w:val="left"/>
              <w:rPr>
                <w:rFonts w:ascii="Times New Roman" w:hAnsi="Times New Roman" w:cs="Times New Roman"/>
                <w:b/>
                <w:bCs/>
              </w:rPr>
            </w:pPr>
            <w:r>
              <w:rPr>
                <w:rFonts w:eastAsia="Calibri" w:cs="Times New Roman" w:ascii="Times New Roman" w:hAnsi="Times New Roman"/>
                <w:b/>
                <w:bCs/>
                <w:kern w:val="2"/>
                <w:sz w:val="24"/>
                <w:szCs w:val="24"/>
                <w:lang w:val="en-TZ" w:eastAsia="en-US" w:bidi="ar-SA"/>
              </w:rPr>
              <w:t>Interpretation</w:t>
            </w:r>
          </w:p>
        </w:tc>
        <w:tc>
          <w:tcPr>
            <w:tcW w:w="5577" w:type="dxa"/>
            <w:tcBorders/>
          </w:tcPr>
          <w:p>
            <w:pPr>
              <w:pStyle w:val="Normal"/>
              <w:widowControl/>
              <w:spacing w:lineRule="auto" w:line="276" w:before="0" w:after="0"/>
              <w:jc w:val="left"/>
              <w:rPr>
                <w:rFonts w:ascii="Times New Roman" w:hAnsi="Times New Roman" w:cs="Times New Roman"/>
                <w:b/>
                <w:bCs/>
              </w:rPr>
            </w:pPr>
            <w:r>
              <w:rPr>
                <w:rFonts w:eastAsia="Calibri" w:cs="Times New Roman" w:ascii="Times New Roman" w:hAnsi="Times New Roman"/>
                <w:b/>
                <w:bCs/>
                <w:kern w:val="2"/>
                <w:sz w:val="24"/>
                <w:szCs w:val="24"/>
                <w:lang w:val="en-TZ" w:eastAsia="en-US" w:bidi="ar-SA"/>
              </w:rPr>
              <w:t>What to Do / Recommended Action</w:t>
            </w:r>
          </w:p>
        </w:tc>
      </w:tr>
      <w:tr>
        <w:trPr/>
        <w:tc>
          <w:tcPr>
            <w:tcW w:w="1616" w:type="dxa"/>
            <w:tcBorders/>
          </w:tcPr>
          <w:p>
            <w:pPr>
              <w:pStyle w:val="Normal"/>
              <w:widowControl/>
              <w:spacing w:lineRule="auto" w:line="276" w:before="0" w:after="0"/>
              <w:jc w:val="left"/>
              <w:rPr>
                <w:rFonts w:ascii="Times New Roman" w:hAnsi="Times New Roman" w:cs="Times New Roman"/>
              </w:rPr>
            </w:pPr>
            <w:r>
              <w:rPr>
                <w:rFonts w:eastAsia="Calibri" w:cs="Times New Roman" w:ascii="Times New Roman" w:hAnsi="Times New Roman"/>
                <w:kern w:val="2"/>
                <w:sz w:val="24"/>
                <w:szCs w:val="24"/>
                <w:lang w:val="en-TZ" w:eastAsia="en-US" w:bidi="ar-SA"/>
              </w:rPr>
              <w:t xml:space="preserve">≈ </w:t>
            </w:r>
            <w:r>
              <w:rPr>
                <w:rFonts w:eastAsia="Calibri" w:cs="Times New Roman" w:ascii="Times New Roman" w:hAnsi="Times New Roman"/>
                <w:kern w:val="2"/>
                <w:sz w:val="24"/>
                <w:szCs w:val="24"/>
                <w:lang w:val="en-TZ" w:eastAsia="en-US" w:bidi="ar-SA"/>
              </w:rPr>
              <w:t>0</w:t>
            </w:r>
          </w:p>
        </w:tc>
        <w:tc>
          <w:tcPr>
            <w:tcW w:w="1823" w:type="dxa"/>
            <w:tcBorders/>
          </w:tcPr>
          <w:p>
            <w:pPr>
              <w:pStyle w:val="Normal"/>
              <w:widowControl/>
              <w:spacing w:lineRule="auto" w:line="276" w:before="0" w:after="0"/>
              <w:jc w:val="left"/>
              <w:rPr>
                <w:rFonts w:ascii="Times New Roman" w:hAnsi="Times New Roman" w:cs="Times New Roman"/>
              </w:rPr>
            </w:pPr>
            <w:r>
              <w:rPr>
                <w:rFonts w:eastAsia="Calibri" w:cs="Times New Roman" w:ascii="Times New Roman" w:hAnsi="Times New Roman"/>
                <w:kern w:val="2"/>
                <w:sz w:val="24"/>
                <w:szCs w:val="24"/>
                <w:lang w:val="en-TZ" w:eastAsia="en-US" w:bidi="ar-SA"/>
              </w:rPr>
              <w:t>Data is symmetric</w:t>
            </w:r>
          </w:p>
        </w:tc>
        <w:tc>
          <w:tcPr>
            <w:tcW w:w="5577" w:type="dxa"/>
            <w:tcBorders/>
          </w:tcPr>
          <w:p>
            <w:pPr>
              <w:pStyle w:val="Normal"/>
              <w:widowControl/>
              <w:spacing w:lineRule="auto" w:line="276" w:before="0" w:after="0"/>
              <w:jc w:val="left"/>
              <w:rPr>
                <w:rFonts w:ascii="Times New Roman" w:hAnsi="Times New Roman" w:cs="Times New Roman"/>
              </w:rPr>
            </w:pPr>
            <w:r>
              <w:rPr>
                <w:rFonts w:eastAsia="Calibri" w:cs="Times New Roman" w:ascii="Times New Roman" w:hAnsi="Times New Roman"/>
                <w:kern w:val="2"/>
                <w:sz w:val="24"/>
                <w:szCs w:val="24"/>
                <w:lang w:val="en-TZ" w:eastAsia="en-US" w:bidi="ar-SA"/>
              </w:rPr>
              <w:t>No transformation needed; proceed with modeling as is.</w:t>
            </w:r>
          </w:p>
        </w:tc>
      </w:tr>
      <w:tr>
        <w:trPr/>
        <w:tc>
          <w:tcPr>
            <w:tcW w:w="1616" w:type="dxa"/>
            <w:tcBorders/>
          </w:tcPr>
          <w:p>
            <w:pPr>
              <w:pStyle w:val="Normal"/>
              <w:widowControl/>
              <w:spacing w:lineRule="auto" w:line="276" w:before="0" w:after="0"/>
              <w:jc w:val="left"/>
              <w:rPr>
                <w:rFonts w:ascii="Times New Roman" w:hAnsi="Times New Roman" w:cs="Times New Roman"/>
              </w:rPr>
            </w:pPr>
            <w:r>
              <w:rPr>
                <w:rFonts w:eastAsia="Calibri" w:cs="Times New Roman" w:ascii="Times New Roman" w:hAnsi="Times New Roman"/>
                <w:kern w:val="2"/>
                <w:sz w:val="24"/>
                <w:szCs w:val="24"/>
                <w:lang w:val="en-TZ" w:eastAsia="en-US" w:bidi="ar-SA"/>
              </w:rPr>
              <w:t>&gt; 0 (Positive skew)</w:t>
            </w:r>
          </w:p>
        </w:tc>
        <w:tc>
          <w:tcPr>
            <w:tcW w:w="1823" w:type="dxa"/>
            <w:tcBorders/>
          </w:tcPr>
          <w:p>
            <w:pPr>
              <w:pStyle w:val="Normal"/>
              <w:widowControl/>
              <w:spacing w:lineRule="auto" w:line="276" w:before="0" w:after="0"/>
              <w:jc w:val="left"/>
              <w:rPr>
                <w:rFonts w:ascii="Times New Roman" w:hAnsi="Times New Roman" w:cs="Times New Roman"/>
              </w:rPr>
            </w:pPr>
            <w:r>
              <w:rPr>
                <w:rFonts w:eastAsia="Calibri" w:cs="Times New Roman" w:ascii="Times New Roman" w:hAnsi="Times New Roman"/>
                <w:kern w:val="2"/>
                <w:sz w:val="24"/>
                <w:szCs w:val="24"/>
                <w:lang w:val="en-TZ" w:eastAsia="en-US" w:bidi="ar-SA"/>
              </w:rPr>
              <w:t>Right-skewed data</w:t>
            </w:r>
          </w:p>
        </w:tc>
        <w:tc>
          <w:tcPr>
            <w:tcW w:w="5577" w:type="dxa"/>
            <w:tcBorders/>
          </w:tcPr>
          <w:p>
            <w:pPr>
              <w:pStyle w:val="Normal"/>
              <w:widowControl/>
              <w:spacing w:lineRule="auto" w:line="276" w:before="0" w:after="0"/>
              <w:jc w:val="left"/>
              <w:rPr>
                <w:rFonts w:ascii="Times New Roman" w:hAnsi="Times New Roman" w:cs="Times New Roman"/>
              </w:rPr>
            </w:pPr>
            <w:r>
              <w:rPr>
                <w:rFonts w:eastAsia="Calibri" w:cs="Times New Roman" w:ascii="Times New Roman" w:hAnsi="Times New Roman"/>
                <w:kern w:val="2"/>
                <w:sz w:val="24"/>
                <w:szCs w:val="24"/>
                <w:lang w:val="en-TZ" w:eastAsia="en-US" w:bidi="ar-SA"/>
              </w:rPr>
              <w:t>Consider transforming data using log, square root, or Box-Cox to reduce skewness.</w:t>
            </w:r>
          </w:p>
        </w:tc>
      </w:tr>
      <w:tr>
        <w:trPr/>
        <w:tc>
          <w:tcPr>
            <w:tcW w:w="1616" w:type="dxa"/>
            <w:tcBorders/>
          </w:tcPr>
          <w:p>
            <w:pPr>
              <w:pStyle w:val="Normal"/>
              <w:widowControl/>
              <w:spacing w:lineRule="auto" w:line="276" w:before="0" w:after="0"/>
              <w:jc w:val="left"/>
              <w:rPr>
                <w:rFonts w:ascii="Times New Roman" w:hAnsi="Times New Roman" w:cs="Times New Roman"/>
              </w:rPr>
            </w:pPr>
            <w:r>
              <w:rPr>
                <w:rFonts w:eastAsia="Calibri" w:cs="Times New Roman" w:ascii="Times New Roman" w:hAnsi="Times New Roman"/>
                <w:kern w:val="2"/>
                <w:sz w:val="24"/>
                <w:szCs w:val="24"/>
                <w:lang w:val="en-TZ" w:eastAsia="en-US" w:bidi="ar-SA"/>
              </w:rPr>
              <w:t>&lt; 0 (Negative skew)</w:t>
            </w:r>
          </w:p>
        </w:tc>
        <w:tc>
          <w:tcPr>
            <w:tcW w:w="1823" w:type="dxa"/>
            <w:tcBorders/>
          </w:tcPr>
          <w:p>
            <w:pPr>
              <w:pStyle w:val="Normal"/>
              <w:widowControl/>
              <w:spacing w:lineRule="auto" w:line="276" w:before="0" w:after="0"/>
              <w:jc w:val="left"/>
              <w:rPr>
                <w:rFonts w:ascii="Times New Roman" w:hAnsi="Times New Roman" w:cs="Times New Roman"/>
              </w:rPr>
            </w:pPr>
            <w:r>
              <w:rPr>
                <w:rFonts w:eastAsia="Calibri" w:cs="Times New Roman" w:ascii="Times New Roman" w:hAnsi="Times New Roman"/>
                <w:kern w:val="2"/>
                <w:sz w:val="24"/>
                <w:szCs w:val="24"/>
                <w:lang w:val="en-TZ" w:eastAsia="en-US" w:bidi="ar-SA"/>
              </w:rPr>
              <w:t>Left-skewed data</w:t>
            </w:r>
          </w:p>
        </w:tc>
        <w:tc>
          <w:tcPr>
            <w:tcW w:w="5577" w:type="dxa"/>
            <w:tcBorders/>
          </w:tcPr>
          <w:p>
            <w:pPr>
              <w:pStyle w:val="Normal"/>
              <w:widowControl/>
              <w:spacing w:lineRule="auto" w:line="276" w:before="0" w:after="0"/>
              <w:jc w:val="left"/>
              <w:rPr>
                <w:rFonts w:ascii="Times New Roman" w:hAnsi="Times New Roman" w:cs="Times New Roman"/>
              </w:rPr>
            </w:pPr>
            <w:r>
              <w:rPr>
                <w:rFonts w:eastAsia="Calibri" w:cs="Times New Roman" w:ascii="Times New Roman" w:hAnsi="Times New Roman"/>
                <w:kern w:val="2"/>
                <w:sz w:val="24"/>
                <w:szCs w:val="24"/>
                <w:lang w:val="en-TZ" w:eastAsia="en-US" w:bidi="ar-SA"/>
              </w:rPr>
              <w:t>Consider reflecting data and applying transformations (e.g., log of reflected data) or other suitable methods.</w:t>
            </w:r>
          </w:p>
        </w:tc>
      </w:tr>
    </w:tbl>
    <w:p>
      <w:pPr>
        <w:pStyle w:val="Normal"/>
        <w:spacing w:before="0" w:after="0"/>
        <w:rPr>
          <w:rFonts w:ascii="Times New Roman" w:hAnsi="Times New Roman" w:cs="Times New Roman"/>
        </w:rPr>
      </w:pPr>
      <w:r>
        <w:rPr>
          <w:rFonts w:cs="Times New Roman" w:ascii="Times New Roman" w:hAnsi="Times New Roman"/>
        </w:rPr>
      </w:r>
    </w:p>
    <w:p>
      <w:pPr>
        <w:pStyle w:val="Normal"/>
        <w:spacing w:before="0" w:after="0"/>
        <w:rPr/>
      </w:pPr>
      <w:r>
        <w:rPr/>
        <w:t xml:space="preserve">michoro hii itachorwa against frequency  AFTER </w:t>
      </w:r>
      <w:r>
        <w:rPr>
          <w:b/>
          <w:bCs/>
        </w:rPr>
        <w:t xml:space="preserve">SKEWNESS </w:t>
      </w:r>
    </w:p>
    <w:p>
      <w:pPr>
        <w:pStyle w:val="Normal"/>
        <w:widowControl w:val="false"/>
        <w:spacing w:before="0" w:after="0"/>
        <w:rPr/>
      </w:pPr>
      <w:r>
        <w:rPr>
          <w:rFonts w:eastAsia="Times New Roman"/>
          <w:b/>
          <w:bCs/>
        </w:rPr>
        <w:t>Figure 14:</w:t>
      </w:r>
      <w:r>
        <w:rPr/>
        <w:t xml:space="preserve"> Overall distribution of malaria case counts</w:t>
        <w:br/>
      </w:r>
      <w:r>
        <w:rPr>
          <w:rFonts w:eastAsia="Times New Roman"/>
          <w:b/>
          <w:bCs/>
        </w:rPr>
        <w:t>Figure 15:</w:t>
      </w:r>
      <w:r>
        <w:rPr/>
        <w:t xml:space="preserve"> Distribution of minimum temperature readings</w:t>
        <w:br/>
      </w:r>
      <w:r>
        <w:rPr>
          <w:rFonts w:eastAsia="Times New Roman"/>
          <w:b/>
          <w:bCs/>
        </w:rPr>
        <w:t>Figure 16:</w:t>
      </w:r>
      <w:r>
        <w:rPr/>
        <w:t xml:space="preserve"> Distribution of maximum temperature readings</w:t>
        <w:br/>
      </w:r>
      <w:r>
        <w:rPr>
          <w:rFonts w:eastAsia="Times New Roman"/>
          <w:b/>
          <w:bCs/>
        </w:rPr>
        <w:t>Figure 17:</w:t>
      </w:r>
      <w:r>
        <w:rPr/>
        <w:t xml:space="preserve"> Distribution of weekly rainfall totals</w:t>
        <w:br/>
      </w:r>
      <w:r>
        <w:rPr>
          <w:rFonts w:eastAsia="Times New Roman"/>
          <w:b/>
          <w:bCs/>
        </w:rPr>
        <w:t>Figure 18:</w:t>
      </w:r>
      <w:r>
        <w:rPr/>
        <w:t xml:space="preserve"> Distribution of weekly humidity levels</w:t>
        <w:br/>
      </w:r>
      <w:r>
        <w:rPr>
          <w:rFonts w:eastAsia="Times New Roman"/>
          <w:b/>
          <w:bCs/>
        </w:rPr>
        <w:t>Figure 19:</w:t>
      </w:r>
      <w:r>
        <w:rPr/>
        <w:t xml:space="preserve"> Distribution of weekly IRS coverage rates</w:t>
        <w:br/>
      </w:r>
      <w:r>
        <w:rPr>
          <w:rFonts w:eastAsia="Times New Roman"/>
          <w:b/>
          <w:bCs/>
        </w:rPr>
        <w:t>Figure 20:</w:t>
      </w:r>
      <w:r>
        <w:rPr/>
        <w:t xml:space="preserve"> Distribution of weekly effective net coverage</w:t>
      </w:r>
    </w:p>
    <w:p>
      <w:pPr>
        <w:pStyle w:val="Normal"/>
        <w:rPr/>
      </w:pPr>
      <w:r>
        <w:rPr>
          <w:rFonts w:eastAsia="Times New Roman"/>
          <w:b/>
          <w:bCs/>
        </w:rPr>
        <w:t>Figure 21:</w:t>
      </w:r>
      <w:r>
        <w:rPr/>
        <w:t xml:space="preserve"> Scatter plots showing malaria case counts versus minimum temperature, maximum temperature, humidity, rainfall, IRS coverage, and effective net usage</w:t>
      </w:r>
    </w:p>
    <w:p>
      <w:pPr>
        <w:pStyle w:val="Normal"/>
        <w:rPr>
          <w:b/>
          <w:bCs/>
        </w:rPr>
      </w:pPr>
      <w:r>
        <w:rPr>
          <w:b/>
          <w:bCs/>
        </w:rPr>
      </w:r>
    </w:p>
    <w:p>
      <w:pPr>
        <w:pStyle w:val="Normal"/>
        <w:rPr/>
      </w:pPr>
      <w:r>
        <w:rPr>
          <w:b/>
          <w:bCs/>
        </w:rPr>
        <w:t>Do feature engineering first</w:t>
      </w:r>
      <w:r>
        <w:rPr/>
        <w:t xml:space="preserve"> (example create lags, season indicators, rolling means, etc.)</w:t>
      </w:r>
    </w:p>
    <w:p>
      <w:pPr>
        <w:pStyle w:val="Normal"/>
        <w:spacing w:before="0" w:after="0"/>
        <w:rPr/>
      </w:pPr>
      <w:r>
        <w:rPr/>
        <w:br/>
      </w:r>
      <w:r>
        <w:rPr>
          <w:b/>
          <w:bCs/>
          <w:sz w:val="36"/>
          <w:szCs w:val="36"/>
        </w:rPr>
        <w:t>Features Selection</w:t>
      </w:r>
    </w:p>
    <w:p>
      <w:pPr>
        <w:pStyle w:val="Normal"/>
        <w:rPr/>
      </w:pPr>
      <w:r>
        <w:rPr/>
        <w:t xml:space="preserve">Feature selection involves automatically identifying the most relevant features that significantly influence the performance of ML model. </w:t>
      </w:r>
    </w:p>
    <w:p>
      <w:pPr>
        <w:pStyle w:val="Normal"/>
        <w:rPr/>
      </w:pPr>
      <w:r>
        <w:rPr>
          <w:b/>
          <w:bCs/>
        </w:rPr>
        <w:t>Draw Spearman correlation matrix across all variables</w:t>
      </w:r>
      <w:r>
        <w:rPr/>
        <w:t xml:space="preserve"> BUT DO NOT INCLUDED TARGET VARIABLE</w:t>
      </w:r>
    </w:p>
    <w:p>
      <w:pPr>
        <w:pStyle w:val="BodyText"/>
        <w:spacing w:before="142" w:after="0"/>
        <w:rPr>
          <w:b/>
        </w:rPr>
      </w:pPr>
      <w:r>
        <w:rPr>
          <w:b/>
        </w:rPr>
      </w:r>
    </w:p>
    <w:p>
      <w:pPr>
        <w:pStyle w:val="Heading2"/>
        <w:tabs>
          <w:tab w:val="clear" w:pos="720"/>
          <w:tab w:val="left" w:pos="995" w:leader="none"/>
        </w:tabs>
        <w:spacing w:before="1" w:after="80"/>
        <w:jc w:val="both"/>
        <w:rPr>
          <w:b/>
          <w:bCs/>
          <w:color w:themeColor="text1" w:val="000000"/>
          <w:spacing w:val="-2"/>
        </w:rPr>
      </w:pPr>
      <w:bookmarkStart w:id="0" w:name="_Hlk199416274"/>
      <w:bookmarkStart w:id="1" w:name="_bookmark98"/>
      <w:bookmarkEnd w:id="1"/>
      <w:r>
        <w:rPr>
          <w:b/>
          <w:bCs/>
        </w:rPr>
        <w:t xml:space="preserve">Use this </w:t>
      </w:r>
      <w:r>
        <w:rPr>
          <w:b/>
          <w:bCs/>
          <w:color w:themeColor="text1" w:val="000000"/>
        </w:rPr>
        <w:t>Feature</w:t>
      </w:r>
      <w:r>
        <w:rPr>
          <w:b/>
          <w:bCs/>
          <w:color w:themeColor="text1" w:val="000000"/>
          <w:spacing w:val="-1"/>
        </w:rPr>
        <w:t xml:space="preserve"> </w:t>
      </w:r>
      <w:r>
        <w:rPr>
          <w:b/>
          <w:bCs/>
          <w:color w:themeColor="text1" w:val="000000"/>
        </w:rPr>
        <w:t>Importance</w:t>
      </w:r>
      <w:r>
        <w:rPr>
          <w:b/>
          <w:bCs/>
          <w:color w:themeColor="text1" w:val="000000"/>
          <w:spacing w:val="-2"/>
        </w:rPr>
        <w:t xml:space="preserve"> </w:t>
      </w:r>
      <w:r>
        <w:rPr>
          <w:b/>
          <w:bCs/>
          <w:color w:themeColor="text1" w:val="000000"/>
        </w:rPr>
        <w:t>Using Random</w:t>
      </w:r>
      <w:r>
        <w:rPr>
          <w:b/>
          <w:bCs/>
          <w:color w:themeColor="text1" w:val="000000"/>
          <w:spacing w:val="-4"/>
        </w:rPr>
        <w:t xml:space="preserve"> </w:t>
      </w:r>
      <w:r>
        <w:rPr>
          <w:b/>
          <w:bCs/>
          <w:color w:themeColor="text1" w:val="000000"/>
          <w:spacing w:val="-2"/>
        </w:rPr>
        <w:t xml:space="preserve">Forest </w:t>
      </w:r>
      <w:r>
        <w:rPr>
          <w:b/>
          <w:bCs/>
          <w:color w:val="EE0000"/>
          <w:spacing w:val="-2"/>
        </w:rPr>
        <w:t xml:space="preserve">to select important features, Then use those selected features to </w:t>
      </w:r>
      <w:r>
        <w:rPr>
          <w:b/>
          <w:bCs/>
          <w:color w:themeColor="text1" w:val="000000"/>
          <w:spacing w:val="-2"/>
        </w:rPr>
        <w:t>train multiple models, such as SVM, RF, and XGBoost.</w:t>
      </w:r>
    </w:p>
    <w:p>
      <w:pPr>
        <w:pStyle w:val="Normal"/>
        <w:rPr>
          <w:b/>
          <w:bCs/>
        </w:rPr>
      </w:pPr>
      <w:r>
        <w:rPr/>
        <w:t xml:space="preserve">yani feature selection kuwe na cutting point Fulani ikivuka hichokiasi itatumika isipopita haitatumika. </w:t>
      </w:r>
      <w:r>
        <w:rPr>
          <w:b/>
          <w:bCs/>
        </w:rPr>
        <w:t xml:space="preserve">Hivyo hatutegemei kuona features zote zimetumika kutengeneza kila model. Kumbuka . </w:t>
      </w:r>
    </w:p>
    <w:p>
      <w:pPr>
        <w:pStyle w:val="Normal"/>
        <w:rPr>
          <w:b/>
          <w:bCs/>
        </w:rPr>
      </w:pPr>
      <w:r>
        <w:rPr>
          <w:b/>
          <w:bCs/>
        </w:rPr>
        <w:t xml:space="preserve">kuinote hiyo CUTTING POINT utakayoichagua na </w:t>
      </w:r>
      <w:r>
        <w:rPr/>
        <w:t>alafu unatakiwa uchore mchoro wenye variables zote na score values. Kama vile bar graph au histogram</w:t>
      </w:r>
    </w:p>
    <w:p>
      <w:pPr>
        <w:pStyle w:val="Normal"/>
        <w:rPr>
          <w:b/>
          <w:bCs/>
        </w:rPr>
      </w:pPr>
      <w:r>
        <w:rPr>
          <w:b/>
          <w:bCs/>
        </w:rPr>
        <w:t xml:space="preserve">Mfano </w:t>
      </w:r>
      <w:r>
        <w:rPr/>
        <w:t xml:space="preserve">the scores arranged from </w:t>
      </w:r>
      <w:r>
        <w:rPr>
          <w:highlight w:val="magenta"/>
        </w:rPr>
        <w:t>0 to 0.5</w:t>
      </w:r>
      <w:r>
        <w:rPr/>
        <w:t xml:space="preserve"> wewe unachagua those factors</w:t>
      </w:r>
      <w:r>
        <w:rPr>
          <w:spacing w:val="40"/>
        </w:rPr>
        <w:t xml:space="preserve"> </w:t>
      </w:r>
      <w:r>
        <w:rPr/>
        <w:t xml:space="preserve">got </w:t>
      </w:r>
      <w:r>
        <w:rPr>
          <w:highlight w:val="magenta"/>
        </w:rPr>
        <w:t>above 0.025 scores</w:t>
      </w:r>
      <w:r>
        <w:rPr/>
        <w:t xml:space="preserve"> </w:t>
      </w:r>
    </w:p>
    <w:p>
      <w:pPr>
        <w:pStyle w:val="Heading2"/>
        <w:tabs>
          <w:tab w:val="clear" w:pos="720"/>
          <w:tab w:val="left" w:pos="995" w:leader="none"/>
        </w:tabs>
        <w:spacing w:before="1" w:after="80"/>
        <w:jc w:val="both"/>
        <w:rPr>
          <w:b/>
          <w:bCs/>
        </w:rPr>
      </w:pPr>
      <w:r>
        <w:rPr>
          <w:b/>
          <w:bCs/>
        </w:rPr>
        <w:t xml:space="preserve">  </w:t>
      </w:r>
      <w:r>
        <w:rPr>
          <w:color w:val="auto"/>
        </w:rPr>
        <w:t xml:space="preserve">If your RF-selected features are manageable and meaningful, you can directly use them to </w:t>
      </w:r>
      <w:r>
        <w:rPr>
          <w:b/>
          <w:bCs/>
          <w:color w:val="auto"/>
        </w:rPr>
        <w:t>train your models</w:t>
      </w:r>
      <w:r>
        <w:rPr>
          <w:b/>
          <w:bCs/>
        </w:rPr>
        <w:t>.</w:t>
      </w:r>
    </w:p>
    <w:p>
      <w:pPr>
        <w:pStyle w:val="Normal"/>
        <w:rPr/>
      </w:pPr>
      <w:r>
        <w:rPr/>
      </w:r>
    </w:p>
    <w:p>
      <w:pPr>
        <w:pStyle w:val="Normal"/>
        <w:rPr>
          <w:b/>
          <w:bCs/>
          <w:color w:val="EE0000"/>
          <w:sz w:val="40"/>
          <w:szCs w:val="40"/>
        </w:rPr>
      </w:pPr>
      <w:r>
        <w:rPr>
          <w:b/>
          <w:bCs/>
          <w:color w:val="EE0000"/>
          <w:sz w:val="40"/>
          <w:szCs w:val="40"/>
        </w:rPr>
        <w:t xml:space="preserve">BUT </w:t>
      </w:r>
      <w:r>
        <w:rPr>
          <w:b/>
          <w:bCs/>
          <w:color w:val="EE0000"/>
          <w:sz w:val="28"/>
          <w:szCs w:val="28"/>
        </w:rPr>
        <w:t>kama features bado zenye correlation value kubwa zipO ni lazima</w:t>
      </w:r>
      <w:r>
        <w:rPr>
          <w:b/>
          <w:bCs/>
          <w:color w:val="EE0000"/>
          <w:sz w:val="40"/>
          <w:szCs w:val="40"/>
        </w:rPr>
        <w:t xml:space="preserve"> </w:t>
      </w:r>
    </w:p>
    <w:p>
      <w:pPr>
        <w:pStyle w:val="Heading2"/>
        <w:tabs>
          <w:tab w:val="clear" w:pos="720"/>
          <w:tab w:val="left" w:pos="995" w:leader="none"/>
        </w:tabs>
        <w:spacing w:before="1" w:after="80"/>
        <w:jc w:val="both"/>
        <w:rPr>
          <w:b/>
          <w:bCs/>
        </w:rPr>
      </w:pPr>
      <w:r>
        <w:rPr>
          <w:b/>
          <w:bCs/>
        </w:rPr>
        <w:t xml:space="preserve">You might do </w:t>
      </w:r>
      <w:r>
        <w:rPr>
          <w:b/>
          <w:bCs/>
          <w:color w:val="auto"/>
        </w:rPr>
        <w:t xml:space="preserve">Principal Component Analysis (PCA) </w:t>
      </w:r>
      <w:r>
        <w:rPr>
          <w:b/>
          <w:bCs/>
        </w:rPr>
        <w:t xml:space="preserve">if you still have many correlated features </w:t>
      </w:r>
      <w:r>
        <w:rPr>
          <w:b/>
          <w:bCs/>
          <w:sz w:val="24"/>
          <w:szCs w:val="24"/>
        </w:rPr>
        <w:t>(</w:t>
      </w:r>
      <w:r>
        <w:rPr>
          <w:b/>
          <w:bCs/>
          <w:color w:themeColor="text1" w:val="000000"/>
          <w:sz w:val="24"/>
          <w:szCs w:val="24"/>
        </w:rPr>
        <w:t>hizo correlation utaangalia kwenye mchoro wacorrelation ulio uchora</w:t>
      </w:r>
      <w:r>
        <w:rPr>
          <w:b/>
          <w:bCs/>
          <w:sz w:val="24"/>
          <w:szCs w:val="24"/>
        </w:rPr>
        <w:t>)</w:t>
      </w:r>
      <w:r>
        <w:rPr>
          <w:b/>
          <w:bCs/>
        </w:rPr>
        <w:t xml:space="preserve"> or want to further reduce dimensionality and improve computational efficiency.</w:t>
      </w:r>
    </w:p>
    <w:p>
      <w:pPr>
        <w:pStyle w:val="Heading2"/>
        <w:tabs>
          <w:tab w:val="clear" w:pos="720"/>
          <w:tab w:val="left" w:pos="995" w:leader="none"/>
        </w:tabs>
        <w:spacing w:before="1" w:after="80"/>
        <w:jc w:val="both"/>
        <w:rPr/>
      </w:pPr>
      <w:r>
        <w:rPr>
          <w:b/>
          <w:bCs/>
        </w:rPr>
        <w:t xml:space="preserve">UKIFANNYA PCA nayo usisahau kuchora mchoro </w:t>
      </w:r>
      <w:r>
        <w:rPr/>
        <w:t xml:space="preserve">kuonyesha how much variance the principal components explained in plot and in ratio. </w:t>
      </w:r>
    </w:p>
    <w:p>
      <w:pPr>
        <w:pStyle w:val="Normal"/>
        <w:rPr/>
      </w:pPr>
      <w:r>
        <w:rPr/>
        <w:t>Alafu , then use those features to train models like SVM, RF, and XGBoost.</w:t>
      </w:r>
    </w:p>
    <w:p>
      <w:pPr>
        <w:pStyle w:val="Normal"/>
        <w:rPr/>
      </w:pPr>
      <w:r>
        <w:rPr/>
      </w:r>
    </w:p>
    <w:p>
      <w:pPr>
        <w:pStyle w:val="Normal"/>
        <w:rPr>
          <w:b/>
          <w:bCs/>
        </w:rPr>
      </w:pPr>
      <w:r>
        <w:rPr>
          <w:b/>
          <w:bCs/>
        </w:rPr>
        <w:t>Train-Test Split (time-aware) usisahau kunote jinsi ulivyosplit dataset</w:t>
      </w:r>
    </w:p>
    <w:p>
      <w:pPr>
        <w:pStyle w:val="Normal"/>
        <w:rPr>
          <w:b/>
          <w:bCs/>
        </w:rPr>
      </w:pPr>
      <w:r>
        <w:rPr>
          <w:b/>
          <w:bCs/>
        </w:rPr>
      </w:r>
    </w:p>
    <w:p>
      <w:pPr>
        <w:pStyle w:val="Normal"/>
        <w:rPr/>
      </w:pPr>
      <w:r>
        <w:rPr>
          <w:b/>
          <w:bCs/>
        </w:rPr>
        <w:t xml:space="preserve"> </w:t>
      </w:r>
      <w:r>
        <w:rPr>
          <w:b/>
          <w:bCs/>
        </w:rPr>
        <w:t>Normalize (if needed</w:t>
      </w:r>
      <w:r>
        <w:rPr/>
        <w:t>)</w:t>
      </w:r>
    </w:p>
    <w:p>
      <w:pPr>
        <w:pStyle w:val="Normal"/>
        <w:rPr/>
      </w:pPr>
      <w:r>
        <w:rPr/>
      </w:r>
    </w:p>
    <w:p>
      <w:pPr>
        <w:pStyle w:val="Normal"/>
        <w:rPr/>
      </w:pPr>
      <w:r>
        <w:rPr>
          <w:b/>
          <w:bCs/>
          <w:sz w:val="32"/>
          <w:szCs w:val="32"/>
        </w:rPr>
        <w:t>model development:</w:t>
      </w:r>
      <w:r>
        <w:rPr/>
        <w:t xml:space="preserve">  </w:t>
      </w:r>
      <w:r>
        <w:rPr>
          <w:rFonts w:eastAsia="" w:cs="" w:ascii="Calibri Light" w:hAnsi="Calibri Light" w:asciiTheme="majorHAnsi" w:cstheme="majorBidi" w:eastAsiaTheme="majorEastAsia" w:hAnsiTheme="majorHAnsi"/>
          <w:b/>
          <w:bCs/>
          <w:color w:themeColor="text1" w:val="000000"/>
          <w:spacing w:val="-2"/>
          <w:sz w:val="32"/>
          <w:szCs w:val="32"/>
        </w:rPr>
        <w:t>SVM, RF, and XGBoost.</w:t>
      </w:r>
    </w:p>
    <w:p>
      <w:pPr>
        <w:pStyle w:val="Normal"/>
        <w:rPr>
          <w:b/>
          <w:bCs/>
          <w:color w:themeColor="text1" w:val="000000"/>
          <w:spacing w:val="-2"/>
        </w:rPr>
      </w:pPr>
      <w:r>
        <w:rPr/>
        <w:t>use features ulizozipata kwenye</w:t>
      </w:r>
      <w:r>
        <w:rPr>
          <w:b/>
          <w:bCs/>
        </w:rPr>
        <w:t xml:space="preserve"> Feature</w:t>
      </w:r>
      <w:r>
        <w:rPr>
          <w:b/>
          <w:bCs/>
          <w:color w:themeColor="text1" w:val="000000"/>
          <w:spacing w:val="-1"/>
        </w:rPr>
        <w:t xml:space="preserve"> </w:t>
      </w:r>
      <w:r>
        <w:rPr>
          <w:b/>
          <w:bCs/>
          <w:color w:themeColor="text1" w:val="000000"/>
        </w:rPr>
        <w:t>Importance</w:t>
      </w:r>
      <w:r>
        <w:rPr>
          <w:b/>
          <w:bCs/>
          <w:color w:themeColor="text1" w:val="000000"/>
          <w:spacing w:val="-2"/>
        </w:rPr>
        <w:t xml:space="preserve"> </w:t>
      </w:r>
      <w:r>
        <w:rPr>
          <w:b/>
          <w:bCs/>
          <w:color w:themeColor="text1" w:val="000000"/>
        </w:rPr>
        <w:t>Using Random</w:t>
      </w:r>
      <w:r>
        <w:rPr>
          <w:b/>
          <w:bCs/>
          <w:color w:themeColor="text1" w:val="000000"/>
          <w:spacing w:val="-4"/>
        </w:rPr>
        <w:t xml:space="preserve"> </w:t>
      </w:r>
      <w:r>
        <w:rPr>
          <w:b/>
          <w:bCs/>
          <w:color w:themeColor="text1" w:val="000000"/>
          <w:spacing w:val="-2"/>
        </w:rPr>
        <w:t xml:space="preserve">Forest </w:t>
      </w:r>
      <w:r>
        <w:rPr>
          <w:b/>
          <w:bCs/>
          <w:color w:val="EE0000"/>
          <w:spacing w:val="-2"/>
        </w:rPr>
        <w:t xml:space="preserve">OR </w:t>
      </w:r>
      <w:r>
        <w:rPr>
          <w:b/>
          <w:bCs/>
        </w:rPr>
        <w:t>Principal Component Analysis (PCA)</w:t>
      </w:r>
      <w:r>
        <w:rPr>
          <w:b/>
          <w:bCs/>
          <w:color w:val="EE0000"/>
        </w:rPr>
        <w:t xml:space="preserve"> OR </w:t>
      </w:r>
      <w:r>
        <w:rPr>
          <w:b/>
          <w:bCs/>
        </w:rPr>
        <w:t>both per each algorithm</w:t>
      </w:r>
      <w:bookmarkEnd w:id="0"/>
    </w:p>
    <w:p>
      <w:pPr>
        <w:pStyle w:val="Normal"/>
        <w:rPr>
          <w:b/>
          <w:bCs/>
          <w:sz w:val="32"/>
          <w:szCs w:val="32"/>
        </w:rPr>
      </w:pPr>
      <w:r>
        <w:rPr>
          <w:b/>
          <w:bCs/>
          <w:sz w:val="32"/>
          <w:szCs w:val="32"/>
        </w:rPr>
        <w:t>Model Evaluation</w:t>
      </w:r>
    </w:p>
    <w:p>
      <w:pPr>
        <w:pStyle w:val="Normal"/>
        <w:spacing w:before="0" w:after="0"/>
        <w:rPr>
          <w:b/>
          <w:bCs/>
        </w:rPr>
      </w:pPr>
      <w:r>
        <w:rPr/>
        <w:t xml:space="preserve">USE </w:t>
      </w:r>
      <w:r>
        <w:rPr>
          <w:b/>
          <w:bCs/>
        </w:rPr>
        <w:t>recall, F1-score, accuracy, precision in tabular form</w:t>
      </w:r>
    </w:p>
    <w:p>
      <w:pPr>
        <w:pStyle w:val="Normal"/>
        <w:rPr>
          <w:sz w:val="56"/>
          <w:szCs w:val="56"/>
        </w:rPr>
      </w:pPr>
      <w:r>
        <w:rPr>
          <w:sz w:val="56"/>
          <w:szCs w:val="56"/>
        </w:rPr>
        <w:t>procedure</w:t>
      </w:r>
    </w:p>
    <w:p>
      <w:pPr>
        <w:pStyle w:val="Normal"/>
        <w:rPr/>
      </w:pPr>
      <w:r>
        <w:rPr/>
        <w:t>1. Load raw data</w:t>
      </w:r>
    </w:p>
    <w:p>
      <w:pPr>
        <w:pStyle w:val="Normal"/>
        <w:rPr/>
      </w:pPr>
      <w:r>
        <w:rPr/>
        <w:t>2. Feature Engineering (lags, rolling stats, seasonality)</w:t>
      </w:r>
    </w:p>
    <w:p>
      <w:pPr>
        <w:pStyle w:val="Normal"/>
        <w:rPr/>
      </w:pPr>
      <w:r>
        <w:rPr/>
        <w:t>3. Feature Selection (correlation, SHAP, RFE)</w:t>
      </w:r>
    </w:p>
    <w:p>
      <w:pPr>
        <w:pStyle w:val="Normal"/>
        <w:rPr/>
      </w:pPr>
      <w:r>
        <w:rPr/>
        <w:t>4. Train-Test Split (time-aware)</w:t>
      </w:r>
    </w:p>
    <w:p>
      <w:pPr>
        <w:pStyle w:val="Normal"/>
        <w:rPr/>
      </w:pPr>
      <w:r>
        <w:rPr/>
        <w:t>5. Normalize (if needed)</w:t>
      </w:r>
    </w:p>
    <w:p>
      <w:pPr>
        <w:pStyle w:val="Normal"/>
        <w:rPr/>
      </w:pPr>
      <w:r>
        <w:rPr/>
        <w:t>6. Train model (RF, XGBoost, etc.)</w:t>
      </w:r>
    </w:p>
    <w:p>
      <w:pPr>
        <w:pStyle w:val="Normal"/>
        <w:widowControl/>
        <w:bidi w:val="0"/>
        <w:spacing w:lineRule="auto" w:line="276" w:before="0" w:after="160"/>
        <w:jc w:val="left"/>
        <w:rPr/>
      </w:pPr>
      <w:r>
        <w:rPr/>
        <w:t>7. Evaluate (F1,  accuracy)</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T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TZ"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TZ" w:eastAsia="en-US" w:bidi="ar-SA"/>
      <w14:ligatures w14:val="standardContextual"/>
    </w:rPr>
  </w:style>
  <w:style w:type="paragraph" w:styleId="Heading1">
    <w:name w:val="Heading 1"/>
    <w:basedOn w:val="Normal"/>
    <w:next w:val="Normal"/>
    <w:link w:val="Heading1Char"/>
    <w:uiPriority w:val="9"/>
    <w:qFormat/>
    <w:rsid w:val="00dd4e77"/>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dd4e77"/>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dd4e77"/>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dd4e77"/>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dd4e77"/>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dd4e7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d4e7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d4e7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d4e7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d4e77"/>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dd4e77"/>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dd4e77"/>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dd4e77"/>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dd4e77"/>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dd4e7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d4e7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d4e7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d4e7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d4e77"/>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d4e7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d4e77"/>
    <w:rPr>
      <w:i/>
      <w:iCs/>
      <w:color w:themeColor="text1" w:themeTint="bf" w:val="404040"/>
    </w:rPr>
  </w:style>
  <w:style w:type="character" w:styleId="IntenseEmphasis">
    <w:name w:val="Intense Emphasis"/>
    <w:basedOn w:val="DefaultParagraphFont"/>
    <w:uiPriority w:val="21"/>
    <w:qFormat/>
    <w:rsid w:val="00dd4e77"/>
    <w:rPr>
      <w:i/>
      <w:iCs/>
      <w:color w:themeColor="accent1" w:themeShade="bf" w:val="2F5496"/>
    </w:rPr>
  </w:style>
  <w:style w:type="character" w:styleId="IntenseQuoteChar" w:customStyle="1">
    <w:name w:val="Intense Quote Char"/>
    <w:basedOn w:val="DefaultParagraphFont"/>
    <w:link w:val="IntenseQuote"/>
    <w:uiPriority w:val="30"/>
    <w:qFormat/>
    <w:rsid w:val="00dd4e77"/>
    <w:rPr>
      <w:i/>
      <w:iCs/>
      <w:color w:themeColor="accent1" w:themeShade="bf" w:val="2F5496"/>
    </w:rPr>
  </w:style>
  <w:style w:type="character" w:styleId="IntenseReference">
    <w:name w:val="Intense Reference"/>
    <w:basedOn w:val="DefaultParagraphFont"/>
    <w:uiPriority w:val="32"/>
    <w:qFormat/>
    <w:rsid w:val="00dd4e77"/>
    <w:rPr>
      <w:b/>
      <w:bCs/>
      <w:smallCaps/>
      <w:color w:themeColor="accent1" w:themeShade="bf" w:val="2F5496"/>
      <w:spacing w:val="5"/>
    </w:rPr>
  </w:style>
  <w:style w:type="character" w:styleId="BodyTextChar" w:customStyle="1">
    <w:name w:val="Body Text Char"/>
    <w:basedOn w:val="DefaultParagraphFont"/>
    <w:uiPriority w:val="1"/>
    <w:qFormat/>
    <w:rsid w:val="00d54cb9"/>
    <w:rPr>
      <w:rFonts w:ascii="Times New Roman" w:hAnsi="Times New Roman" w:eastAsia="Times New Roman" w:cs="Times New Roman"/>
      <w:kern w:val="0"/>
      <w:lang w:val="en-US"/>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d54cb9"/>
    <w:pPr>
      <w:widowControl w:val="false"/>
      <w:spacing w:lineRule="auto" w:line="240" w:before="0" w:after="0"/>
    </w:pPr>
    <w:rPr>
      <w:rFonts w:ascii="Times New Roman" w:hAnsi="Times New Roman" w:eastAsia="Times New Roman" w:cs="Times New Roman"/>
      <w:kern w:val="0"/>
      <w:lang w:val="en-US"/>
      <w14:ligatures w14:val="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dd4e77"/>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d4e7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d4e77"/>
    <w:pPr>
      <w:spacing w:before="160" w:after="160"/>
      <w:jc w:val="center"/>
    </w:pPr>
    <w:rPr>
      <w:i/>
      <w:iCs/>
      <w:color w:themeColor="text1" w:themeTint="bf" w:val="404040"/>
    </w:rPr>
  </w:style>
  <w:style w:type="paragraph" w:styleId="ListParagraph">
    <w:name w:val="List Paragraph"/>
    <w:basedOn w:val="Normal"/>
    <w:uiPriority w:val="34"/>
    <w:qFormat/>
    <w:rsid w:val="00dd4e77"/>
    <w:pPr>
      <w:spacing w:before="0" w:after="160"/>
      <w:ind w:left="720"/>
      <w:contextualSpacing/>
    </w:pPr>
    <w:rPr/>
  </w:style>
  <w:style w:type="paragraph" w:styleId="IntenseQuote">
    <w:name w:val="Intense Quote"/>
    <w:basedOn w:val="Normal"/>
    <w:next w:val="Normal"/>
    <w:link w:val="IntenseQuoteChar"/>
    <w:uiPriority w:val="30"/>
    <w:qFormat/>
    <w:rsid w:val="00dd4e77"/>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semiHidden/>
    <w:unhideWhenUsed/>
    <w:qFormat/>
    <w:rsid w:val="00d54cb9"/>
    <w:pPr/>
    <w:rPr>
      <w:rFonts w:ascii="Times New Roman" w:hAnsi="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b59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8C770-FFA8-45E5-8CE6-D4CD336DE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Application>LibreOffice/24.2.7.2$Linux_X86_64 LibreOffice_project/420$Build-2</Application>
  <AppVersion>15.0000</AppVersion>
  <Pages>7</Pages>
  <Words>1349</Words>
  <Characters>8520</Characters>
  <CharactersWithSpaces>10110</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2025-05-30T15:16:00Z</dcterms:created>
  <dc:creator>Fatuma Mapinduzi</dc:creator>
  <dc:description/>
  <dc:language>en-US</dc:language>
  <cp:lastModifiedBy/>
  <dcterms:modified xsi:type="dcterms:W3CDTF">2025-06-24T23:54:18Z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36d2c840-c4dc-4868-b15b-cc98067e9332</vt:lpwstr>
  </property>
  <property fmtid="{D5CDD505-2E9C-101B-9397-08002B2CF9AE}" pid="3" name="Mendeley Recent Style Id 0_1">
    <vt:lpwstr>http://www.zotero.org/styles/american-political-science-association</vt:lpwstr>
  </property>
  <property fmtid="{D5CDD505-2E9C-101B-9397-08002B2CF9AE}" pid="4" name="Mendeley Recent Style Id 1_1">
    <vt:lpwstr>http://www.zotero.org/styles/apa-6th-edition</vt:lpwstr>
  </property>
  <property fmtid="{D5CDD505-2E9C-101B-9397-08002B2CF9AE}" pid="5" name="Mendeley Recent Style Id 2_1">
    <vt:lpwstr>http://www.zotero.org/styles/apa</vt:lpwstr>
  </property>
  <property fmtid="{D5CDD505-2E9C-101B-9397-08002B2CF9AE}" pid="6" name="Mendeley Recent Style Id 3_1">
    <vt:lpwstr>http://www.zotero.org/styles/american-sociological-association</vt:lpwstr>
  </property>
  <property fmtid="{D5CDD505-2E9C-101B-9397-08002B2CF9AE}" pid="7" name="Mendeley Recent Style Id 4_1">
    <vt:lpwstr>http://www.zotero.org/styles/chicago-author-date</vt:lpwstr>
  </property>
  <property fmtid="{D5CDD505-2E9C-101B-9397-08002B2CF9AE}" pid="8" name="Mendeley Recent Style Id 5_1">
    <vt:lpwstr>http://www.zotero.org/styles/harvard-cite-them-right</vt:lpwstr>
  </property>
  <property fmtid="{D5CDD505-2E9C-101B-9397-08002B2CF9AE}" pid="9" name="Mendeley Recent Style Id 6_1">
    <vt:lpwstr>http://www.zotero.org/styles/ieee</vt:lpwstr>
  </property>
  <property fmtid="{D5CDD505-2E9C-101B-9397-08002B2CF9AE}" pid="10" name="Mendeley Recent Style Id 7_1">
    <vt:lpwstr>http://www.zotero.org/styles/modern-humanities-research-association</vt:lpwstr>
  </property>
  <property fmtid="{D5CDD505-2E9C-101B-9397-08002B2CF9AE}" pid="11" name="Mendeley Recent Style Id 8_1">
    <vt:lpwstr>http://www.zotero.org/styles/modern-language-association</vt:lpwstr>
  </property>
  <property fmtid="{D5CDD505-2E9C-101B-9397-08002B2CF9AE}" pid="12" name="Mendeley Recent Style Id 9_1">
    <vt:lpwstr>http://www.zotero.org/styles/nature</vt:lpwstr>
  </property>
  <property fmtid="{D5CDD505-2E9C-101B-9397-08002B2CF9AE}" pid="13" name="Mendeley Recent Style Name 0_1">
    <vt:lpwstr>American Political Science Association</vt:lpwstr>
  </property>
  <property fmtid="{D5CDD505-2E9C-101B-9397-08002B2CF9AE}" pid="14" name="Mendeley Recent Style Name 1_1">
    <vt:lpwstr>American Psychological Association 6th edition</vt:lpwstr>
  </property>
  <property fmtid="{D5CDD505-2E9C-101B-9397-08002B2CF9AE}" pid="15" name="Mendeley Recent Style Name 2_1">
    <vt:lpwstr>American Psychological Association 7th edition</vt:lpwstr>
  </property>
  <property fmtid="{D5CDD505-2E9C-101B-9397-08002B2CF9AE}" pid="16" name="Mendeley Recent Style Name 3_1">
    <vt:lpwstr>American Sociological Association 6th/7th edition</vt:lpwstr>
  </property>
  <property fmtid="{D5CDD505-2E9C-101B-9397-08002B2CF9AE}" pid="17" name="Mendeley Recent Style Name 4_1">
    <vt:lpwstr>Chicago Manual of Style 17th edition (author-date)</vt:lpwstr>
  </property>
  <property fmtid="{D5CDD505-2E9C-101B-9397-08002B2CF9AE}" pid="18" name="Mendeley Recent Style Name 5_1">
    <vt:lpwstr>Cite Them Right 12th edition - Harvard</vt:lpwstr>
  </property>
  <property fmtid="{D5CDD505-2E9C-101B-9397-08002B2CF9AE}" pid="19" name="Mendeley Recent Style Name 6_1">
    <vt:lpwstr>IEEE</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Name 8_1">
    <vt:lpwstr>Modern Language Association 9th edition</vt:lpwstr>
  </property>
  <property fmtid="{D5CDD505-2E9C-101B-9397-08002B2CF9AE}" pid="22" name="Mendeley Recent Style Name 9_1">
    <vt:lpwstr>Nature</vt:lpwstr>
  </property>
</Properties>
</file>