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SGTravelBud — Demo Workflows</w:t>
      </w:r>
    </w:p>
    <w:p>
      <w:r>
        <w:rPr>
          <w:sz w:val="20"/>
        </w:rPr>
        <w:t>4 end-to-end workflows designed for a ~10-minute live demo. Together they cover all 40 test cases (TC1–TC40).</w:t>
      </w:r>
    </w:p>
    <w:p/>
    <w:p>
      <w:pPr>
        <w:pStyle w:val="Heading1"/>
      </w:pPr>
      <w:r>
        <w:t>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3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03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Workflow</w:t>
            </w:r>
          </w:p>
        </w:tc>
        <w:tc>
          <w:tcPr>
            <w:tcW w:type="dxa" w:w="86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446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Test Cases Covered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8"/>
              </w:rPr>
              <w:t>Public Transit Search — Full Journey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8"/>
              </w:rPr>
              <w:t>~3 min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8"/>
              </w:rPr>
              <w:t>TC1, TC4, TC5, TC6, TC7, TC8, TC9, TC10, TC11, TC12, TC13, TC14, TC16, TC18, TC22, TC35, TC36, TC40</w:t>
            </w:r>
          </w:p>
        </w:tc>
      </w:tr>
      <w:tr>
        <w:tc>
          <w:tcPr>
            <w:tcW w:type="dxa" w:w="2556"/>
            <w:shd w:val="clear" w:color="auto" w:fill="F2F2F2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556"/>
            <w:shd w:val="clear" w:color="auto" w:fill="F2F2F2"/>
          </w:tcPr>
          <w:p>
            <w:r>
              <w:rPr>
                <w:rFonts w:ascii="Calibri" w:hAnsi="Calibri"/>
                <w:sz w:val="18"/>
              </w:rPr>
              <w:t>Driving / Taxi Search — ERP, Parking, Weather</w:t>
            </w:r>
          </w:p>
        </w:tc>
        <w:tc>
          <w:tcPr>
            <w:tcW w:type="dxa" w:w="2556"/>
            <w:shd w:val="clear" w:color="auto" w:fill="F2F2F2"/>
          </w:tcPr>
          <w:p>
            <w:r>
              <w:rPr>
                <w:rFonts w:ascii="Calibri" w:hAnsi="Calibri"/>
                <w:sz w:val="18"/>
              </w:rPr>
              <w:t>~3 min</w:t>
            </w:r>
          </w:p>
        </w:tc>
        <w:tc>
          <w:tcPr>
            <w:tcW w:type="dxa" w:w="2556"/>
            <w:shd w:val="clear" w:color="auto" w:fill="F2F2F2"/>
          </w:tcPr>
          <w:p>
            <w:r>
              <w:rPr>
                <w:rFonts w:ascii="Calibri" w:hAnsi="Calibri"/>
                <w:sz w:val="18"/>
              </w:rPr>
              <w:t>TC2, TC3, TC32, TC33, TC34</w:t>
            </w:r>
          </w:p>
        </w:tc>
      </w:tr>
      <w:tr>
        <w:tc>
          <w:tcPr>
            <w:tcW w:type="dxa" w:w="2556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8"/>
              </w:rPr>
              <w:t>Settings, Data Freshness, and Fallback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8"/>
              </w:rPr>
              <w:t>~2 min</w:t>
            </w:r>
          </w:p>
        </w:tc>
        <w:tc>
          <w:tcPr>
            <w:tcW w:type="dxa" w:w="2556"/>
          </w:tcPr>
          <w:p>
            <w:r>
              <w:rPr>
                <w:rFonts w:ascii="Calibri" w:hAnsi="Calibri"/>
                <w:sz w:val="18"/>
              </w:rPr>
              <w:t>TC19, TC20, TC21, TC28, TC29, TC31, TC37</w:t>
            </w:r>
          </w:p>
        </w:tc>
      </w:tr>
      <w:tr>
        <w:tc>
          <w:tcPr>
            <w:tcW w:type="dxa" w:w="2556"/>
            <w:shd w:val="clear" w:color="auto" w:fill="F2F2F2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556"/>
            <w:shd w:val="clear" w:color="auto" w:fill="F2F2F2"/>
          </w:tcPr>
          <w:p>
            <w:r>
              <w:rPr>
                <w:rFonts w:ascii="Calibri" w:hAnsi="Calibri"/>
                <w:sz w:val="18"/>
              </w:rPr>
              <w:t>Backend API Verification (Live Demo with Swagger/curl)</w:t>
            </w:r>
          </w:p>
        </w:tc>
        <w:tc>
          <w:tcPr>
            <w:tcW w:type="dxa" w:w="2556"/>
            <w:shd w:val="clear" w:color="auto" w:fill="F2F2F2"/>
          </w:tcPr>
          <w:p>
            <w:r>
              <w:rPr>
                <w:rFonts w:ascii="Calibri" w:hAnsi="Calibri"/>
                <w:sz w:val="18"/>
              </w:rPr>
              <w:t>~2 min</w:t>
            </w:r>
          </w:p>
        </w:tc>
        <w:tc>
          <w:tcPr>
            <w:tcW w:type="dxa" w:w="2556"/>
            <w:shd w:val="clear" w:color="auto" w:fill="F2F2F2"/>
          </w:tcPr>
          <w:p>
            <w:r>
              <w:rPr>
                <w:rFonts w:ascii="Calibri" w:hAnsi="Calibri"/>
                <w:sz w:val="18"/>
              </w:rPr>
              <w:t>TC23, TC24, TC25, TC26, TC27, TC29, TC30, TC38, TC39</w:t>
            </w:r>
          </w:p>
        </w:tc>
      </w:tr>
    </w:tbl>
    <w:p/>
    <w:p>
      <w:pPr>
        <w:pStyle w:val="Heading1"/>
      </w:pPr>
      <w:r>
        <w:t>Workflow 1: Public Transit Search — Full Journey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D6E4F0"/>
          </w:tcPr>
          <w:p>
            <w:r>
              <w:rPr>
                <w:b/>
                <w:sz w:val="18"/>
              </w:rPr>
              <w:t>Estimated Time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~3 min</w:t>
            </w:r>
          </w:p>
        </w:tc>
      </w:tr>
      <w:tr>
        <w:tc>
          <w:tcPr>
            <w:tcW w:type="dxa" w:w="2016"/>
            <w:shd w:val="clear" w:color="auto" w:fill="D6E4F0"/>
          </w:tcPr>
          <w:p>
            <w:r>
              <w:rPr>
                <w:b/>
                <w:sz w:val="18"/>
              </w:rPr>
              <w:t>Goal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Demonstrate the core user journey: search for a public transit route, explore results, inspect scoring, compare departure times, and view the route on the map.</w:t>
            </w:r>
          </w:p>
        </w:tc>
      </w:tr>
      <w:tr>
        <w:tc>
          <w:tcPr>
            <w:tcW w:type="dxa" w:w="2016"/>
            <w:shd w:val="clear" w:color="auto" w:fill="D6E4F0"/>
          </w:tcPr>
          <w:p>
            <w:r>
              <w:rPr>
                <w:b/>
                <w:sz w:val="18"/>
              </w:rPr>
              <w:t>Test Cases Covered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TC1, TC4, TC5, TC6, TC7, TC8, TC9, TC10, TC11, TC12, TC13, TC14, TC16, TC18, TC22, TC35, TC36, TC40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504"/>
            <w:shd w:val="clear" w:color="auto" w:fill="1F3864"/>
          </w:tcPr>
          <w:p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3600"/>
            <w:shd w:val="clear" w:color="auto" w:fill="1F3864"/>
          </w:tcPr>
          <w:p>
            <w:r>
              <w:rPr>
                <w:b/>
                <w:color w:val="FFFFFF"/>
                <w:sz w:val="16"/>
              </w:rPr>
              <w:t>Action (What to Do)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  <w:sz w:val="16"/>
              </w:rPr>
              <w:t>Narration (What to Say)</w:t>
            </w:r>
          </w:p>
        </w:tc>
        <w:tc>
          <w:tcPr>
            <w:tcW w:type="dxa" w:w="3168"/>
            <w:shd w:val="clear" w:color="auto" w:fill="1F3864"/>
          </w:tcPr>
          <w:p>
            <w:r>
              <w:rPr>
                <w:b/>
                <w:color w:val="FFFFFF"/>
                <w:sz w:val="16"/>
              </w:rPr>
              <w:t>Expected Result / Verify</w:t>
            </w:r>
          </w:p>
        </w:tc>
      </w:tr>
      <w:tr>
        <w:tc>
          <w:tcPr>
            <w:tcW w:type="dxa" w:w="50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Open the app. Show the Home screen with the empty search form.</w:t>
            </w:r>
          </w:p>
        </w:tc>
        <w:tc>
          <w:tcPr>
            <w:tcW w:type="dxa" w:w="302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This is SGTravelBud — a smart transport routing app for Singapore.</w:t>
            </w:r>
          </w:p>
        </w:tc>
        <w:tc>
          <w:tcPr>
            <w:tcW w:type="dxa" w:w="3168"/>
            <w:shd w:val="clear" w:color="auto" w:fill="F7F9FC"/>
            <w:shd w:val="clear" w:color="auto" w:fill="E8F5E9"/>
          </w:tcPr>
          <w:p>
            <w:r>
              <w:rPr>
                <w:rFonts w:ascii="Calibri" w:hAnsi="Calibri"/>
                <w:sz w:val="16"/>
              </w:rPr>
              <w:t>Map is visible. Search fields are empty. Search button is disabled.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Type "Clem" in the Origin field. Wait for autocomplete dropdown to appear. Select "Clementi MRT Station".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We use Nominatim geocoding for place autocomplete — suggestions appear after 2 characters.</w:t>
            </w:r>
          </w:p>
        </w:tc>
        <w:tc>
          <w:tcPr>
            <w:tcW w:type="dxa" w:w="3168"/>
            <w:shd w:val="clear" w:color="auto" w:fill="FFFFFF"/>
            <w:shd w:val="clear" w:color="auto" w:fill="F0FAF0"/>
          </w:tcPr>
          <w:p>
            <w:r>
              <w:rPr>
                <w:rFonts w:ascii="Calibri" w:hAnsi="Calibri"/>
                <w:sz w:val="16"/>
              </w:rPr>
              <w:t>Autocomplete dropdown shows Singapore locations. Selection populates the field with coordinates.</w:t>
            </w:r>
          </w:p>
        </w:tc>
      </w:tr>
      <w:tr>
        <w:tc>
          <w:tcPr>
            <w:tcW w:type="dxa" w:w="50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Try to type the same location "Clementi MRT" in Destination. Note the Search button stays disabled.</w:t>
            </w:r>
          </w:p>
        </w:tc>
        <w:tc>
          <w:tcPr>
            <w:tcW w:type="dxa" w:w="302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The app validates that origin and destination are different.</w:t>
            </w:r>
          </w:p>
        </w:tc>
        <w:tc>
          <w:tcPr>
            <w:tcW w:type="dxa" w:w="3168"/>
            <w:shd w:val="clear" w:color="auto" w:fill="F7F9FC"/>
            <w:shd w:val="clear" w:color="auto" w:fill="E8F5E9"/>
          </w:tcPr>
          <w:p>
            <w:r>
              <w:rPr>
                <w:rFonts w:ascii="Calibri" w:hAnsi="Calibri"/>
                <w:sz w:val="16"/>
              </w:rPr>
              <w:t>Search button remains disabled. (Covers TC5, TC6 — input validation.)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Clear Destination. Enter "Raffles Place MRT" as the destination. Ensure Public Transit mode is selected.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Now we have a valid transit query — Clementi to Raffles Place.</w:t>
            </w:r>
          </w:p>
        </w:tc>
        <w:tc>
          <w:tcPr>
            <w:tcW w:type="dxa" w:w="3168"/>
            <w:shd w:val="clear" w:color="auto" w:fill="FFFFFF"/>
            <w:shd w:val="clear" w:color="auto" w:fill="F0FAF0"/>
          </w:tcPr>
          <w:p>
            <w:r>
              <w:rPr>
                <w:rFonts w:ascii="Calibri" w:hAnsi="Calibri"/>
                <w:sz w:val="16"/>
              </w:rPr>
              <w:t>Both fields filled. Search button becomes enabled.</w:t>
            </w:r>
          </w:p>
        </w:tc>
      </w:tr>
      <w:tr>
        <w:tc>
          <w:tcPr>
            <w:tcW w:type="dxa" w:w="50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Tap the Swap button between origin and destination.</w:t>
            </w:r>
          </w:p>
        </w:tc>
        <w:tc>
          <w:tcPr>
            <w:tcW w:type="dxa" w:w="302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Quick swap — useful if you entered them the wrong way around.</w:t>
            </w:r>
          </w:p>
        </w:tc>
        <w:tc>
          <w:tcPr>
            <w:tcW w:type="dxa" w:w="3168"/>
            <w:shd w:val="clear" w:color="auto" w:fill="F7F9FC"/>
            <w:shd w:val="clear" w:color="auto" w:fill="E8F5E9"/>
          </w:tcPr>
          <w:p>
            <w:r>
              <w:rPr>
                <w:rFonts w:ascii="Calibri" w:hAnsi="Calibri"/>
                <w:sz w:val="16"/>
              </w:rPr>
              <w:t>Origin and Destination values are reversed. (Covers TC4.)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Swap back. Expand the Advanced Priorities section. Show the 4 weight sliders (Time, Cost, Risk, Comfort) and the 3 constraint fields (Max Walk, Max Transfers, Max Budget).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Users can personalise how routes are ranked. Weights control the scoring formula; constraints hard-filter routes.</w:t>
            </w:r>
          </w:p>
        </w:tc>
        <w:tc>
          <w:tcPr>
            <w:tcW w:type="dxa" w:w="3168"/>
            <w:shd w:val="clear" w:color="auto" w:fill="FFFFFF"/>
            <w:shd w:val="clear" w:color="auto" w:fill="F0FAF0"/>
          </w:tcPr>
          <w:p>
            <w:r>
              <w:rPr>
                <w:rFonts w:ascii="Calibri" w:hAnsi="Calibri"/>
                <w:sz w:val="16"/>
              </w:rPr>
              <w:t>Sliders default to 0.25 each. Constraint fields are empty (no constraint).</w:t>
            </w:r>
          </w:p>
        </w:tc>
      </w:tr>
      <w:tr>
        <w:tc>
          <w:tcPr>
            <w:tcW w:type="dxa" w:w="50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Set Max Transfers to 0. Tap Search.</w:t>
            </w:r>
          </w:p>
        </w:tc>
        <w:tc>
          <w:tcPr>
            <w:tcW w:type="dxa" w:w="302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Let's first try a strict constraint — zero transfers.</w:t>
            </w:r>
          </w:p>
        </w:tc>
        <w:tc>
          <w:tcPr>
            <w:tcW w:type="dxa" w:w="3168"/>
            <w:shd w:val="clear" w:color="auto" w:fill="F7F9FC"/>
            <w:shd w:val="clear" w:color="auto" w:fill="E8F5E9"/>
          </w:tcPr>
          <w:p>
            <w:r>
              <w:rPr>
                <w:rFonts w:ascii="Calibri" w:hAnsi="Calibri"/>
                <w:sz w:val="16"/>
              </w:rPr>
              <w:t>If no direct routes exist: "No routes found" message. (Covers TC10, TC7.) Otherwise, only direct routes shown.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Remove the Max Transfers constraint (clear the field). Tap Search again with default weights.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Now searching with no constraints — we get the full ranked list.</w:t>
            </w:r>
          </w:p>
        </w:tc>
        <w:tc>
          <w:tcPr>
            <w:tcW w:type="dxa" w:w="3168"/>
            <w:shd w:val="clear" w:color="auto" w:fill="FFFFFF"/>
            <w:shd w:val="clear" w:color="auto" w:fill="F0FAF0"/>
          </w:tcPr>
          <w:p>
            <w:r>
              <w:rPr>
                <w:rFonts w:ascii="Calibri" w:hAnsi="Calibri"/>
                <w:sz w:val="16"/>
              </w:rPr>
              <w:t>Bottom sheet expands. 1–5 route cards appear with duration, cost, transfers, and crowding risk badges (Low/Medium/High). Map shows route polyline. (Covers TC1, TC22.)</w:t>
            </w:r>
          </w:p>
        </w:tc>
      </w:tr>
      <w:tr>
        <w:tc>
          <w:tcPr>
            <w:tcW w:type="dxa" w:w="50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Navigate to the Results tab. Point out the route cards, risk legend, and the Compare Departure Times button.</w:t>
            </w:r>
          </w:p>
        </w:tc>
        <w:tc>
          <w:tcPr>
            <w:tcW w:type="dxa" w:w="302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Each card shows a composite score. Risk badges use real-time LTA crowding and delay data.</w:t>
            </w:r>
          </w:p>
        </w:tc>
        <w:tc>
          <w:tcPr>
            <w:tcW w:type="dxa" w:w="3168"/>
            <w:shd w:val="clear" w:color="auto" w:fill="F7F9FC"/>
            <w:shd w:val="clear" w:color="auto" w:fill="E8F5E9"/>
          </w:tcPr>
          <w:p>
            <w:r>
              <w:rPr>
                <w:rFonts w:ascii="Calibri" w:hAnsi="Calibri"/>
                <w:sz w:val="16"/>
              </w:rPr>
              <w:t>Route cards are listed in score order. Risk legend shows Low (green), Medium (amber), High (red).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10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Tap Compare Departure Times.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This compares routes across 9 time slots — Morning Rush, Around Now, and Evening Rush — so you can see how departure time affects your journey.</w:t>
            </w:r>
          </w:p>
        </w:tc>
        <w:tc>
          <w:tcPr>
            <w:tcW w:type="dxa" w:w="3168"/>
            <w:shd w:val="clear" w:color="auto" w:fill="FFFFFF"/>
            <w:shd w:val="clear" w:color="auto" w:fill="F0FAF0"/>
          </w:tcPr>
          <w:p>
            <w:r>
              <w:rPr>
                <w:rFonts w:ascii="Calibri" w:hAnsi="Calibri"/>
                <w:sz w:val="16"/>
              </w:rPr>
              <w:t>Modal opens with 3 groups x 3 time slots. Cells show score, time, realistic time, cost, crowding. Best = green, worst = red. (Covers TC16.)</w:t>
            </w:r>
          </w:p>
        </w:tc>
      </w:tr>
      <w:tr>
        <w:tc>
          <w:tcPr>
            <w:tcW w:type="dxa" w:w="50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11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Close the comparison modal. Select a route card. Tap View on Map.</w:t>
            </w:r>
          </w:p>
        </w:tc>
        <w:tc>
          <w:tcPr>
            <w:tcW w:type="dxa" w:w="302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Let's inspect this route on the map.</w:t>
            </w:r>
          </w:p>
        </w:tc>
        <w:tc>
          <w:tcPr>
            <w:tcW w:type="dxa" w:w="3168"/>
            <w:shd w:val="clear" w:color="auto" w:fill="F7F9FC"/>
            <w:shd w:val="clear" w:color="auto" w:fill="E8F5E9"/>
          </w:tcPr>
          <w:p>
            <w:r>
              <w:rPr>
                <w:rFonts w:ascii="Calibri" w:hAnsi="Calibri"/>
                <w:sz w:val="16"/>
              </w:rPr>
              <w:t>MapPage shows the selected route with polyline, start/end markers. Bottom panel: time, distance, cost, risk badges. (Covers TC12.)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12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Use the Prev/Next arrows to cycle through routes on the map.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You can browse all routes directly on the map. Prev is disabled on route 1, Next on the last.</w:t>
            </w:r>
          </w:p>
        </w:tc>
        <w:tc>
          <w:tcPr>
            <w:tcW w:type="dxa" w:w="3168"/>
            <w:shd w:val="clear" w:color="auto" w:fill="FFFFFF"/>
            <w:shd w:val="clear" w:color="auto" w:fill="F0FAF0"/>
          </w:tcPr>
          <w:p>
            <w:r>
              <w:rPr>
                <w:rFonts w:ascii="Calibri" w:hAnsi="Calibri"/>
                <w:sz w:val="16"/>
              </w:rPr>
              <w:t>Map and info panel update for each route. "Route X of Y" counter updates. (Covers TC13.)</w:t>
            </w:r>
          </w:p>
        </w:tc>
      </w:tr>
      <w:tr>
        <w:tc>
          <w:tcPr>
            <w:tcW w:type="dxa" w:w="50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13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Navigate to the Scoring tab. Scroll through the scoring breakdown.</w:t>
            </w:r>
          </w:p>
        </w:tc>
        <w:tc>
          <w:tcPr>
            <w:tcW w:type="dxa" w:w="302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The Scoring page shows how each route was ranked. We normalise metrics to 0–1, multiply by weights, and sum. Realistic time accounts for bus frequency delays.</w:t>
            </w:r>
          </w:p>
        </w:tc>
        <w:tc>
          <w:tcPr>
            <w:tcW w:type="dxa" w:w="3168"/>
            <w:shd w:val="clear" w:color="auto" w:fill="F7F9FC"/>
            <w:shd w:val="clear" w:color="auto" w:fill="E8F5E9"/>
          </w:tcPr>
          <w:p>
            <w:r>
              <w:rPr>
                <w:rFonts w:ascii="Calibri" w:hAnsi="Calibri"/>
                <w:sz w:val="16"/>
              </w:rPr>
              <w:t>Active weights displayed. Comparison table (best green, worst red). Per-route breakdown cards with normalised bars, weighted contributions, and formula. Realistic time &gt;= Google time, highlighted amber if different. Crowding heatmaps per MRT station (6AM–11PM, with Now marker). (Covers TC14, TC18, TC35.)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14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Go back to Home. Expand Advanced Priorities. Set Time = 1.0, Cost = 0.0, Risk = 0.0, Comfort = 0.0. Search again.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Watch how the ranking changes when we only care about speed.</w:t>
            </w:r>
          </w:p>
        </w:tc>
        <w:tc>
          <w:tcPr>
            <w:tcW w:type="dxa" w:w="3168"/>
            <w:shd w:val="clear" w:color="auto" w:fill="FFFFFF"/>
            <w:shd w:val="clear" w:color="auto" w:fill="F0FAF0"/>
          </w:tcPr>
          <w:p>
            <w:r>
              <w:rPr>
                <w:rFonts w:ascii="Calibri" w:hAnsi="Calibri"/>
                <w:sz w:val="16"/>
              </w:rPr>
              <w:t>The fastest route is now ranked #1. Order differs from the default-weight search. (Covers TC8.)</w:t>
            </w:r>
          </w:p>
        </w:tc>
      </w:tr>
      <w:tr>
        <w:tc>
          <w:tcPr>
            <w:tcW w:type="dxa" w:w="50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15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Now add constraints: Max Walk = 5 min, Max Transfers = 1, Max Budget = $2.00. Search.</w:t>
            </w:r>
          </w:p>
        </w:tc>
        <w:tc>
          <w:tcPr>
            <w:tcW w:type="dxa" w:w="302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Constraints hard-filter: any route exceeding these limits is removed entirely.</w:t>
            </w:r>
          </w:p>
        </w:tc>
        <w:tc>
          <w:tcPr>
            <w:tcW w:type="dxa" w:w="3168"/>
            <w:shd w:val="clear" w:color="auto" w:fill="F7F9FC"/>
            <w:shd w:val="clear" w:color="auto" w:fill="E8F5E9"/>
          </w:tcPr>
          <w:p>
            <w:r>
              <w:rPr>
                <w:rFonts w:ascii="Calibri" w:hAnsi="Calibri"/>
                <w:sz w:val="16"/>
              </w:rPr>
              <w:t>Results only include routes satisfying ALL three constraints. Fewer routes returned. (Covers TC9, TC11, TC40.)</w:t>
            </w:r>
          </w:p>
        </w:tc>
      </w:tr>
    </w:tbl>
    <w:p/>
    <w:p>
      <w:pPr>
        <w:pStyle w:val="Heading1"/>
      </w:pPr>
      <w:r>
        <w:t>Workflow 2: Driving / Taxi Search — ERP, Parking, Weather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D6E4F0"/>
          </w:tcPr>
          <w:p>
            <w:r>
              <w:rPr>
                <w:b/>
                <w:sz w:val="18"/>
              </w:rPr>
              <w:t>Estimated Time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~3 min</w:t>
            </w:r>
          </w:p>
        </w:tc>
      </w:tr>
      <w:tr>
        <w:tc>
          <w:tcPr>
            <w:tcW w:type="dxa" w:w="2016"/>
            <w:shd w:val="clear" w:color="auto" w:fill="D6E4F0"/>
          </w:tcPr>
          <w:p>
            <w:r>
              <w:rPr>
                <w:b/>
                <w:sz w:val="18"/>
              </w:rPr>
              <w:t>Goal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Demonstrate driving and taxi mode with differentiation features: ERP toll calculation, carpark availability, and weather integration.</w:t>
            </w:r>
          </w:p>
        </w:tc>
      </w:tr>
      <w:tr>
        <w:tc>
          <w:tcPr>
            <w:tcW w:type="dxa" w:w="2016"/>
            <w:shd w:val="clear" w:color="auto" w:fill="D6E4F0"/>
          </w:tcPr>
          <w:p>
            <w:r>
              <w:rPr>
                <w:b/>
                <w:sz w:val="18"/>
              </w:rPr>
              <w:t>Test Cases Covered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TC2, TC3, TC32, TC33, TC34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504"/>
            <w:shd w:val="clear" w:color="auto" w:fill="1F3864"/>
          </w:tcPr>
          <w:p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3600"/>
            <w:shd w:val="clear" w:color="auto" w:fill="1F3864"/>
          </w:tcPr>
          <w:p>
            <w:r>
              <w:rPr>
                <w:b/>
                <w:color w:val="FFFFFF"/>
                <w:sz w:val="16"/>
              </w:rPr>
              <w:t>Action (What to Do)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  <w:sz w:val="16"/>
              </w:rPr>
              <w:t>Narration (What to Say)</w:t>
            </w:r>
          </w:p>
        </w:tc>
        <w:tc>
          <w:tcPr>
            <w:tcW w:type="dxa" w:w="3168"/>
            <w:shd w:val="clear" w:color="auto" w:fill="1F3864"/>
          </w:tcPr>
          <w:p>
            <w:r>
              <w:rPr>
                <w:b/>
                <w:color w:val="FFFFFF"/>
                <w:sz w:val="16"/>
              </w:rPr>
              <w:t>Expected Result / Verify</w:t>
            </w:r>
          </w:p>
        </w:tc>
      </w:tr>
      <w:tr>
        <w:tc>
          <w:tcPr>
            <w:tcW w:type="dxa" w:w="50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On the Home screen, enter Origin = "NUS" and Destination = "Changi Airport".</w:t>
            </w:r>
          </w:p>
        </w:tc>
        <w:tc>
          <w:tcPr>
            <w:tcW w:type="dxa" w:w="302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A cross-island trip — good for showing driving features.</w:t>
            </w:r>
          </w:p>
        </w:tc>
        <w:tc>
          <w:tcPr>
            <w:tcW w:type="dxa" w:w="3168"/>
            <w:shd w:val="clear" w:color="auto" w:fill="F7F9FC"/>
            <w:shd w:val="clear" w:color="auto" w:fill="E8F5E9"/>
          </w:tcPr>
          <w:p>
            <w:r>
              <w:rPr>
                <w:rFonts w:ascii="Calibri" w:hAnsi="Calibri"/>
                <w:sz w:val="16"/>
              </w:rPr>
              <w:t>Fields populated. Search button enabled.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Toggle mode to Taxi/Drive only (deselect Public Transit).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Now we're searching exclusively for driving and taxi routes.</w:t>
            </w:r>
          </w:p>
        </w:tc>
        <w:tc>
          <w:tcPr>
            <w:tcW w:type="dxa" w:w="3168"/>
            <w:shd w:val="clear" w:color="auto" w:fill="FFFFFF"/>
            <w:shd w:val="clear" w:color="auto" w:fill="F0FAF0"/>
          </w:tcPr>
          <w:p>
            <w:r>
              <w:rPr>
                <w:rFonts w:ascii="Calibri" w:hAnsi="Calibri"/>
                <w:sz w:val="16"/>
              </w:rPr>
              <w:t>Only the Taxi/Drive toggle is active.</w:t>
            </w:r>
          </w:p>
        </w:tc>
      </w:tr>
      <w:tr>
        <w:tc>
          <w:tcPr>
            <w:tcW w:type="dxa" w:w="50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Tap Search.</w:t>
            </w:r>
          </w:p>
        </w:tc>
        <w:tc>
          <w:tcPr>
            <w:tcW w:type="dxa" w:w="302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The backend calls Google Maps for driving directions, then enriches them with ERP gantry detection, carpark availability, and weather data.</w:t>
            </w:r>
          </w:p>
        </w:tc>
        <w:tc>
          <w:tcPr>
            <w:tcW w:type="dxa" w:w="3168"/>
            <w:shd w:val="clear" w:color="auto" w:fill="F7F9FC"/>
            <w:shd w:val="clear" w:color="auto" w:fill="E8F5E9"/>
          </w:tcPr>
          <w:p>
            <w:r>
              <w:rPr>
                <w:rFonts w:ascii="Calibri" w:hAnsi="Calibri"/>
                <w:sz w:val="16"/>
              </w:rPr>
              <w:t>Results show route cards categorised as "Taxi" or "Drive". Cost reflects taxi fare estimate or fuel cost. No transfer count shown. (Covers TC2.)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Select a driving route. Check the route explanation text for ERP mentions.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The app detects ERP gantries along the route polyline and adds toll charges to the cost. This uses the CTE and other expressway gantry data.</w:t>
            </w:r>
          </w:p>
        </w:tc>
        <w:tc>
          <w:tcPr>
            <w:tcW w:type="dxa" w:w="3168"/>
            <w:shd w:val="clear" w:color="auto" w:fill="FFFFFF"/>
            <w:shd w:val="clear" w:color="auto" w:fill="F0FAF0"/>
          </w:tcPr>
          <w:p>
            <w:r>
              <w:rPr>
                <w:rFonts w:ascii="Calibri" w:hAnsi="Calibri"/>
                <w:sz w:val="16"/>
              </w:rPr>
              <w:t>If the route passes ERP gantries during peak hours, the cost includes toll charges and the explanation mentions ERP. (Covers TC32.)</w:t>
            </w:r>
          </w:p>
        </w:tc>
      </w:tr>
      <w:tr>
        <w:tc>
          <w:tcPr>
            <w:tcW w:type="dxa" w:w="50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Check the route details for carpark availability near the destination.</w:t>
            </w:r>
          </w:p>
        </w:tc>
        <w:tc>
          <w:tcPr>
            <w:tcW w:type="dxa" w:w="302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For driving routes, we query LTA for nearby HDB/URA carparks and show available lot counts.</w:t>
            </w:r>
          </w:p>
        </w:tc>
        <w:tc>
          <w:tcPr>
            <w:tcW w:type="dxa" w:w="3168"/>
            <w:shd w:val="clear" w:color="auto" w:fill="F7F9FC"/>
            <w:shd w:val="clear" w:color="auto" w:fill="E8F5E9"/>
          </w:tcPr>
          <w:p>
            <w:r>
              <w:rPr>
                <w:rFonts w:ascii="Calibri" w:hAnsi="Calibri"/>
                <w:sz w:val="16"/>
              </w:rPr>
              <w:t>Carpark availability data appears in the route response with lot counts. (Covers TC34.)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Check the route explanation or assessment for weather information.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We pull the NEA 2-hour weather forecast and factor adverse weather into the risk assessment.</w:t>
            </w:r>
          </w:p>
        </w:tc>
        <w:tc>
          <w:tcPr>
            <w:tcW w:type="dxa" w:w="3168"/>
            <w:shd w:val="clear" w:color="auto" w:fill="FFFFFF"/>
            <w:shd w:val="clear" w:color="auto" w:fill="F0FAF0"/>
          </w:tcPr>
          <w:p>
            <w:r>
              <w:rPr>
                <w:rFonts w:ascii="Calibri" w:hAnsi="Calibri"/>
                <w:sz w:val="16"/>
              </w:rPr>
              <w:t>If rain or thunderstorms are forecast, the route explanation or risk reflects this. (Covers TC33.)</w:t>
            </w:r>
          </w:p>
        </w:tc>
      </w:tr>
      <w:tr>
        <w:tc>
          <w:tcPr>
            <w:tcW w:type="dxa" w:w="50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Now enable BOTH modes (Public Transit + Taxi/Drive). Search again.</w:t>
            </w:r>
          </w:p>
        </w:tc>
        <w:tc>
          <w:tcPr>
            <w:tcW w:type="dxa" w:w="302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With both modes on, you get a mixed comparison — transit vs driving vs taxi side by side.</w:t>
            </w:r>
          </w:p>
        </w:tc>
        <w:tc>
          <w:tcPr>
            <w:tcW w:type="dxa" w:w="3168"/>
            <w:shd w:val="clear" w:color="auto" w:fill="F7F9FC"/>
            <w:shd w:val="clear" w:color="auto" w:fill="E8F5E9"/>
          </w:tcPr>
          <w:p>
            <w:r>
              <w:rPr>
                <w:rFonts w:ascii="Calibri" w:hAnsi="Calibri"/>
                <w:sz w:val="16"/>
              </w:rPr>
              <w:t>Results include a mix of transit, taxi, and drive routes, up to 5 total. Categories labelled correctly. (Covers TC3.)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Navigate to the Scoring tab. Compare transit vs driving route scores.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The scoring system works across all modes — normalised metrics let you compare apples to oranges.</w:t>
            </w:r>
          </w:p>
        </w:tc>
        <w:tc>
          <w:tcPr>
            <w:tcW w:type="dxa" w:w="3168"/>
            <w:shd w:val="clear" w:color="auto" w:fill="FFFFFF"/>
            <w:shd w:val="clear" w:color="auto" w:fill="F0FAF0"/>
          </w:tcPr>
          <w:p>
            <w:r>
              <w:rPr>
                <w:rFonts w:ascii="Calibri" w:hAnsi="Calibri"/>
                <w:sz w:val="16"/>
              </w:rPr>
              <w:t>Comparison table shows all route types. Scoring formula applies consistently across modes.</w:t>
            </w:r>
          </w:p>
        </w:tc>
      </w:tr>
    </w:tbl>
    <w:p/>
    <w:p>
      <w:pPr>
        <w:pStyle w:val="Heading1"/>
      </w:pPr>
      <w:r>
        <w:t>Workflow 3: Settings, Data Freshness, and Fallback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D6E4F0"/>
          </w:tcPr>
          <w:p>
            <w:r>
              <w:rPr>
                <w:b/>
                <w:sz w:val="18"/>
              </w:rPr>
              <w:t>Estimated Time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~2 min</w:t>
            </w:r>
          </w:p>
        </w:tc>
      </w:tr>
      <w:tr>
        <w:tc>
          <w:tcPr>
            <w:tcW w:type="dxa" w:w="2016"/>
            <w:shd w:val="clear" w:color="auto" w:fill="D6E4F0"/>
          </w:tcPr>
          <w:p>
            <w:r>
              <w:rPr>
                <w:b/>
                <w:sz w:val="18"/>
              </w:rPr>
              <w:t>Goal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Demonstrate user settings management, live data source monitoring, cache refresh, and fallback resilience.</w:t>
            </w:r>
          </w:p>
        </w:tc>
      </w:tr>
      <w:tr>
        <w:tc>
          <w:tcPr>
            <w:tcW w:type="dxa" w:w="2016"/>
            <w:shd w:val="clear" w:color="auto" w:fill="D6E4F0"/>
          </w:tcPr>
          <w:p>
            <w:r>
              <w:rPr>
                <w:b/>
                <w:sz w:val="18"/>
              </w:rPr>
              <w:t>Test Cases Covered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TC19, TC20, TC21, TC28, TC29, TC31, TC37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504"/>
            <w:shd w:val="clear" w:color="auto" w:fill="1F3864"/>
          </w:tcPr>
          <w:p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3600"/>
            <w:shd w:val="clear" w:color="auto" w:fill="1F3864"/>
          </w:tcPr>
          <w:p>
            <w:r>
              <w:rPr>
                <w:b/>
                <w:color w:val="FFFFFF"/>
                <w:sz w:val="16"/>
              </w:rPr>
              <w:t>Action (What to Do)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  <w:sz w:val="16"/>
              </w:rPr>
              <w:t>Narration (What to Say)</w:t>
            </w:r>
          </w:p>
        </w:tc>
        <w:tc>
          <w:tcPr>
            <w:tcW w:type="dxa" w:w="3168"/>
            <w:shd w:val="clear" w:color="auto" w:fill="1F3864"/>
          </w:tcPr>
          <w:p>
            <w:r>
              <w:rPr>
                <w:b/>
                <w:color w:val="FFFFFF"/>
                <w:sz w:val="16"/>
              </w:rPr>
              <w:t>Expected Result / Verify</w:t>
            </w:r>
          </w:p>
        </w:tc>
      </w:tr>
      <w:tr>
        <w:tc>
          <w:tcPr>
            <w:tcW w:type="dxa" w:w="50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Use the bottom navigation to switch between all 4 tabs: Home, Results, Scoring, Settings.</w:t>
            </w:r>
          </w:p>
        </w:tc>
        <w:tc>
          <w:tcPr>
            <w:tcW w:type="dxa" w:w="302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The bottom nav provides quick access to all sections. State is preserved across tabs.</w:t>
            </w:r>
          </w:p>
        </w:tc>
        <w:tc>
          <w:tcPr>
            <w:tcW w:type="dxa" w:w="3168"/>
            <w:shd w:val="clear" w:color="auto" w:fill="F7F9FC"/>
            <w:shd w:val="clear" w:color="auto" w:fill="E8F5E9"/>
          </w:tcPr>
          <w:p>
            <w:r>
              <w:rPr>
                <w:rFonts w:ascii="Calibri" w:hAnsi="Calibri"/>
                <w:sz w:val="16"/>
              </w:rPr>
              <w:t>Each tab loads correctly. Active tab is highlighted. (Covers TC37.)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Navigate to the Settings tab. Show the current settings: language, units, and default weights.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User preferences are persisted on the backend as a JSON file.</w:t>
            </w:r>
          </w:p>
        </w:tc>
        <w:tc>
          <w:tcPr>
            <w:tcW w:type="dxa" w:w="3168"/>
            <w:shd w:val="clear" w:color="auto" w:fill="FFFFFF"/>
            <w:shd w:val="clear" w:color="auto" w:fill="F0FAF0"/>
          </w:tcPr>
          <w:p>
            <w:r>
              <w:rPr>
                <w:rFonts w:ascii="Calibri" w:hAnsi="Calibri"/>
                <w:sz w:val="16"/>
              </w:rPr>
              <w:t>Settings page loads with current values. Default weights shown as sliders. (Covers TC19.)</w:t>
            </w:r>
          </w:p>
        </w:tc>
      </w:tr>
      <w:tr>
        <w:tc>
          <w:tcPr>
            <w:tcW w:type="dxa" w:w="50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Change Language to "zh" (Chinese). Change Units to "imperial". Adjust the default Time weight to 0.8. Tap Save.</w:t>
            </w:r>
          </w:p>
        </w:tc>
        <w:tc>
          <w:tcPr>
            <w:tcW w:type="dxa" w:w="302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Settings are saved via PUT /settings and persist across sessions.</w:t>
            </w:r>
          </w:p>
        </w:tc>
        <w:tc>
          <w:tcPr>
            <w:tcW w:type="dxa" w:w="3168"/>
            <w:shd w:val="clear" w:color="auto" w:fill="F7F9FC"/>
            <w:shd w:val="clear" w:color="auto" w:fill="E8F5E9"/>
          </w:tcPr>
          <w:p>
            <w:r>
              <w:rPr>
                <w:rFonts w:ascii="Calibri" w:hAnsi="Calibri"/>
                <w:sz w:val="16"/>
              </w:rPr>
              <w:t>Green success toast appears. (Covers TC20.)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Navigate away to Home, then back to Settings.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Let's verify persistence.</w:t>
            </w:r>
          </w:p>
        </w:tc>
        <w:tc>
          <w:tcPr>
            <w:tcW w:type="dxa" w:w="3168"/>
            <w:shd w:val="clear" w:color="auto" w:fill="FFFFFF"/>
            <w:shd w:val="clear" w:color="auto" w:fill="F0FAF0"/>
          </w:tcPr>
          <w:p>
            <w:r>
              <w:rPr>
                <w:rFonts w:ascii="Calibri" w:hAnsi="Calibri"/>
                <w:sz w:val="16"/>
              </w:rPr>
              <w:t>Settings still show zh, imperial, Time = 0.8. Values persisted. (Covers TC20.)</w:t>
            </w:r>
          </w:p>
        </w:tc>
      </w:tr>
      <w:tr>
        <w:tc>
          <w:tcPr>
            <w:tcW w:type="dxa" w:w="50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Reset settings back to defaults (en, metric, all weights 0.25). Save.</w:t>
            </w:r>
          </w:p>
        </w:tc>
        <w:tc>
          <w:tcPr>
            <w:tcW w:type="dxa" w:w="302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Restoring defaults for the rest of the demo.</w:t>
            </w:r>
          </w:p>
        </w:tc>
        <w:tc>
          <w:tcPr>
            <w:tcW w:type="dxa" w:w="3168"/>
            <w:shd w:val="clear" w:color="auto" w:fill="F7F9FC"/>
            <w:shd w:val="clear" w:color="auto" w:fill="E8F5E9"/>
          </w:tcPr>
          <w:p>
            <w:r>
              <w:rPr>
                <w:rFonts w:ascii="Calibri" w:hAnsi="Calibri"/>
                <w:sz w:val="16"/>
              </w:rPr>
              <w:t>Success toast. Settings reset.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Scroll down to the Data Sources section. Show the table of data sources with their Live/Fallback status.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This shows the real-time health of every external data source the app depends on — LTA bus arrivals, train crowding, traffic speed bands, carpark availability, and more. Each has a TTL-based cache.</w:t>
            </w:r>
          </w:p>
        </w:tc>
        <w:tc>
          <w:tcPr>
            <w:tcW w:type="dxa" w:w="3168"/>
            <w:shd w:val="clear" w:color="auto" w:fill="FFFFFF"/>
            <w:shd w:val="clear" w:color="auto" w:fill="F0FAF0"/>
          </w:tcPr>
          <w:p>
            <w:r>
              <w:rPr>
                <w:rFonts w:ascii="Calibri" w:hAnsi="Calibri"/>
                <w:sz w:val="16"/>
              </w:rPr>
              <w:t>Table lists all data sources. Each shows "Live" (green) or "Fallback" (amber) badge with last-retrieved timestamp. (Covers TC28.)</w:t>
            </w:r>
          </w:p>
        </w:tc>
      </w:tr>
      <w:tr>
        <w:tc>
          <w:tcPr>
            <w:tcW w:type="dxa" w:w="50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Tap the Refresh button in the Data Sources section.</w:t>
            </w:r>
          </w:p>
        </w:tc>
        <w:tc>
          <w:tcPr>
            <w:tcW w:type="dxa" w:w="302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This invalidates all caches and re-fetches fresh data from every external API. If an API is down, the app falls back to the last known good data.</w:t>
            </w:r>
          </w:p>
        </w:tc>
        <w:tc>
          <w:tcPr>
            <w:tcW w:type="dxa" w:w="3168"/>
            <w:shd w:val="clear" w:color="auto" w:fill="F7F9FC"/>
            <w:shd w:val="clear" w:color="auto" w:fill="E8F5E9"/>
          </w:tcPr>
          <w:p>
            <w:r>
              <w:rPr>
                <w:rFonts w:ascii="Calibri" w:hAnsi="Calibri"/>
                <w:sz w:val="16"/>
              </w:rPr>
              <w:t>Sources reload. Live sources refresh timestamps. Any unavailable API shows "Fallback" badge. (Covers TC21, TC31.)</w:t>
            </w:r>
          </w:p>
        </w:tc>
      </w:tr>
    </w:tbl>
    <w:p/>
    <w:p>
      <w:pPr>
        <w:pStyle w:val="Heading1"/>
      </w:pPr>
      <w:r>
        <w:t>Workflow 4: Backend API Verification (Live Demo with Swagger/curl)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val="clear" w:color="auto" w:fill="D6E4F0"/>
          </w:tcPr>
          <w:p>
            <w:r>
              <w:rPr>
                <w:b/>
                <w:sz w:val="18"/>
              </w:rPr>
              <w:t>Estimated Time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~2 min</w:t>
            </w:r>
          </w:p>
        </w:tc>
      </w:tr>
      <w:tr>
        <w:tc>
          <w:tcPr>
            <w:tcW w:type="dxa" w:w="2016"/>
            <w:shd w:val="clear" w:color="auto" w:fill="D6E4F0"/>
          </w:tcPr>
          <w:p>
            <w:r>
              <w:rPr>
                <w:b/>
                <w:sz w:val="18"/>
              </w:rPr>
              <w:t>Goal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Demonstrate the backend API layer directly — showing that the service layer, data layer, and external integrations all work end-to-end.</w:t>
            </w:r>
          </w:p>
        </w:tc>
      </w:tr>
      <w:tr>
        <w:tc>
          <w:tcPr>
            <w:tcW w:type="dxa" w:w="2016"/>
            <w:shd w:val="clear" w:color="auto" w:fill="D6E4F0"/>
          </w:tcPr>
          <w:p>
            <w:r>
              <w:rPr>
                <w:b/>
                <w:sz w:val="18"/>
              </w:rPr>
              <w:t>Test Cases Covered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TC23, TC24, TC25, TC26, TC27, TC29, TC30, TC38, TC39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504"/>
            <w:shd w:val="clear" w:color="auto" w:fill="1F3864"/>
          </w:tcPr>
          <w:p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3600"/>
            <w:shd w:val="clear" w:color="auto" w:fill="1F3864"/>
          </w:tcPr>
          <w:p>
            <w:r>
              <w:rPr>
                <w:b/>
                <w:color w:val="FFFFFF"/>
                <w:sz w:val="16"/>
              </w:rPr>
              <w:t>Action (What to Do)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  <w:sz w:val="16"/>
              </w:rPr>
              <w:t>Narration (What to Say)</w:t>
            </w:r>
          </w:p>
        </w:tc>
        <w:tc>
          <w:tcPr>
            <w:tcW w:type="dxa" w:w="3168"/>
            <w:shd w:val="clear" w:color="auto" w:fill="1F3864"/>
          </w:tcPr>
          <w:p>
            <w:r>
              <w:rPr>
                <w:b/>
                <w:color w:val="FFFFFF"/>
                <w:sz w:val="16"/>
              </w:rPr>
              <w:t>Expected Result / Verify</w:t>
            </w:r>
          </w:p>
        </w:tc>
      </w:tr>
      <w:tr>
        <w:tc>
          <w:tcPr>
            <w:tcW w:type="dxa" w:w="50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Open a browser to the FastAPI docs (http://localhost:8000/docs) or use curl. Hit GET /health.</w:t>
            </w:r>
          </w:p>
        </w:tc>
        <w:tc>
          <w:tcPr>
            <w:tcW w:type="dxa" w:w="302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The backend exposes a RESTful API with automatic Swagger documentation. Let's start with a health check.</w:t>
            </w:r>
          </w:p>
        </w:tc>
        <w:tc>
          <w:tcPr>
            <w:tcW w:type="dxa" w:w="3168"/>
            <w:shd w:val="clear" w:color="auto" w:fill="F7F9FC"/>
            <w:shd w:val="clear" w:color="auto" w:fill="E8F5E9"/>
          </w:tcPr>
          <w:p>
            <w:r>
              <w:rPr>
                <w:rFonts w:ascii="Calibri" w:hAnsi="Calibri"/>
                <w:sz w:val="16"/>
              </w:rPr>
              <w:t>200 OK response. Server is running. (Covers TC29.)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Call GET /routes?origin=Clementi&amp;destination=Raffles+Place&amp;include_transit=true&amp;wt_time=0.5&amp;wt_cost=0.2&amp;wt_risk=0.2&amp;wt_comfort=0.1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This is the main routing endpoint. It calls Google Maps, enriches with LTA data, scores, and ranks.</w:t>
            </w:r>
          </w:p>
        </w:tc>
        <w:tc>
          <w:tcPr>
            <w:tcW w:type="dxa" w:w="3168"/>
            <w:shd w:val="clear" w:color="auto" w:fill="FFFFFF"/>
            <w:shd w:val="clear" w:color="auto" w:fill="F0FAF0"/>
          </w:tcPr>
          <w:p>
            <w:r>
              <w:rPr>
                <w:rFonts w:ascii="Calibri" w:hAnsi="Calibri"/>
                <w:sz w:val="16"/>
              </w:rPr>
              <w:t>200 OK. Response has "trip" metadata and "routes" array with up to 5 RouteOption objects. Each has time, cost, score, steps, crowding, delay. (Covers TC23.)</w:t>
            </w:r>
          </w:p>
        </w:tc>
      </w:tr>
      <w:tr>
        <w:tc>
          <w:tcPr>
            <w:tcW w:type="dxa" w:w="50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Call GET /routes?origin=NUS&amp;destination=Changi+Airport&amp;max_transfers=1&amp;max_budget=3.0</w:t>
            </w:r>
          </w:p>
        </w:tc>
        <w:tc>
          <w:tcPr>
            <w:tcW w:type="dxa" w:w="302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Adding constraints — the backend filters server-side before returning results.</w:t>
            </w:r>
          </w:p>
        </w:tc>
        <w:tc>
          <w:tcPr>
            <w:tcW w:type="dxa" w:w="3168"/>
            <w:shd w:val="clear" w:color="auto" w:fill="F7F9FC"/>
            <w:shd w:val="clear" w:color="auto" w:fill="E8F5E9"/>
          </w:tcPr>
          <w:p>
            <w:r>
              <w:rPr>
                <w:rFonts w:ascii="Calibri" w:hAnsi="Calibri"/>
                <w:sz w:val="16"/>
              </w:rPr>
              <w:t>All returned routes have transfers &lt;= 1 and cost &lt;= $3.00. (Covers TC24.)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Call GET /assessment?origin=Jurong+East&amp;destination=Dhoby+Ghaut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The assessment endpoint provides segment-level risk analysis — crowding forecasts and delay estimates for each leg.</w:t>
            </w:r>
          </w:p>
        </w:tc>
        <w:tc>
          <w:tcPr>
            <w:tcW w:type="dxa" w:w="3168"/>
            <w:shd w:val="clear" w:color="auto" w:fill="FFFFFF"/>
            <w:shd w:val="clear" w:color="auto" w:fill="F0FAF0"/>
          </w:tcPr>
          <w:p>
            <w:r>
              <w:rPr>
                <w:rFonts w:ascii="Calibri" w:hAnsi="Calibri"/>
                <w:sz w:val="16"/>
              </w:rPr>
              <w:t>200 OK. Segment assessments with crowding levels, delay estimates, bus frequency data. (Covers TC25.)</w:t>
            </w:r>
          </w:p>
        </w:tc>
      </w:tr>
      <w:tr>
        <w:tc>
          <w:tcPr>
            <w:tcW w:type="dxa" w:w="50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Call GET /crowding/heatmap?station_name=Orchard</w:t>
            </w:r>
          </w:p>
        </w:tc>
        <w:tc>
          <w:tcPr>
            <w:tcW w:type="dxa" w:w="302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This powers the crowding heatmap visualisation — hourly crowding data for any MRT station.</w:t>
            </w:r>
          </w:p>
        </w:tc>
        <w:tc>
          <w:tcPr>
            <w:tcW w:type="dxa" w:w="3168"/>
            <w:shd w:val="clear" w:color="auto" w:fill="F7F9FC"/>
            <w:shd w:val="clear" w:color="auto" w:fill="E8F5E9"/>
          </w:tcPr>
          <w:p>
            <w:r>
              <w:rPr>
                <w:rFonts w:ascii="Calibri" w:hAnsi="Calibri"/>
                <w:sz w:val="16"/>
              </w:rPr>
              <w:t>200 OK. Station name, line code, and intervals array (6AM–11PM) with crowding levels. (Covers TC26.)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Call PUT /settings with body: {"language":"ta","units":"imperial","default_weights":{"time":0.4,"cost":0.3,"risk":0.2,"comfort":0.1}}. Then call GET /settings.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Settings are persisted via a simple JSON file-based repository.</w:t>
            </w:r>
          </w:p>
        </w:tc>
        <w:tc>
          <w:tcPr>
            <w:tcW w:type="dxa" w:w="3168"/>
            <w:shd w:val="clear" w:color="auto" w:fill="FFFFFF"/>
            <w:shd w:val="clear" w:color="auto" w:fill="F0FAF0"/>
          </w:tcPr>
          <w:p>
            <w:r>
              <w:rPr>
                <w:rFonts w:ascii="Calibri" w:hAnsi="Calibri"/>
                <w:sz w:val="16"/>
              </w:rPr>
              <w:t>PUT returns 200. GET returns the same values. Round-trip confirmed. (Covers TC27.)</w:t>
            </w:r>
          </w:p>
        </w:tc>
      </w:tr>
      <w:tr>
        <w:tc>
          <w:tcPr>
            <w:tcW w:type="dxa" w:w="50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3600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Call GET /routes/compare?origin=Clementi&amp;destination=Raffles+Place&amp;include_transit=true (show the response structure).</w:t>
            </w:r>
          </w:p>
        </w:tc>
        <w:tc>
          <w:tcPr>
            <w:tcW w:type="dxa" w:w="3024"/>
            <w:shd w:val="clear" w:color="auto" w:fill="F7F9FC"/>
          </w:tcPr>
          <w:p>
            <w:r>
              <w:rPr>
                <w:rFonts w:ascii="Calibri" w:hAnsi="Calibri"/>
                <w:sz w:val="16"/>
              </w:rPr>
              <w:t>The compare endpoint returns the best route for each of 9 departure time slots — this powers the Departure Time Comparison modal.</w:t>
            </w:r>
          </w:p>
        </w:tc>
        <w:tc>
          <w:tcPr>
            <w:tcW w:type="dxa" w:w="3168"/>
            <w:shd w:val="clear" w:color="auto" w:fill="F7F9FC"/>
            <w:shd w:val="clear" w:color="auto" w:fill="E8F5E9"/>
          </w:tcPr>
          <w:p>
            <w:r>
              <w:rPr>
                <w:rFonts w:ascii="Calibri" w:hAnsi="Calibri"/>
                <w:sz w:val="16"/>
              </w:rPr>
              <w:t>Response has 3 groups (Morning/Now/Evening), each with 3 time slots, each with top 3 routes.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Go back to the frontend. On the Results page, tap Refresh.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sz w:val="16"/>
              </w:rPr>
              <w:t>The refresh button re-hits the same API with the same parameters to get updated real-time data.</w:t>
            </w:r>
          </w:p>
        </w:tc>
        <w:tc>
          <w:tcPr>
            <w:tcW w:type="dxa" w:w="3168"/>
            <w:shd w:val="clear" w:color="auto" w:fill="FFFFFF"/>
            <w:shd w:val="clear" w:color="auto" w:fill="F0FAF0"/>
          </w:tcPr>
          <w:p>
            <w:r>
              <w:rPr>
                <w:rFonts w:ascii="Calibri" w:hAnsi="Calibri"/>
                <w:sz w:val="16"/>
              </w:rPr>
              <w:t>Spinner appears. Fresh results load. Scores may differ slightly from real-time data changes. (Covers TC38.)</w:t>
            </w:r>
          </w:p>
        </w:tc>
      </w:tr>
    </w:tbl>
    <w:p/>
    <w:p>
      <w:pPr>
        <w:pStyle w:val="Heading1"/>
      </w:pPr>
      <w:r>
        <w:t>Test Case Coverage Map</w:t>
      </w:r>
    </w:p>
    <w:p>
      <w:r>
        <w:rPr>
          <w:sz w:val="18"/>
        </w:rPr>
        <w:t>The table below shows which original test cases (TC1–TC40) are exercised by each workflow.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152"/>
            <w:shd w:val="clear" w:color="auto" w:fill="1F3864"/>
          </w:tcPr>
          <w:p>
            <w:r>
              <w:rPr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6"/>
              </w:rPr>
              <w:t>Covered By Workflow(s)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TC1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WF1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r>
              <w:rPr>
                <w:sz w:val="16"/>
              </w:rPr>
              <w:t>TC2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6"/>
              </w:rPr>
              <w:t>WF2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TC3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WF2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r>
              <w:rPr>
                <w:sz w:val="16"/>
              </w:rPr>
              <w:t>TC4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6"/>
              </w:rPr>
              <w:t>WF1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TC5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WF1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r>
              <w:rPr>
                <w:sz w:val="16"/>
              </w:rPr>
              <w:t>TC6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6"/>
              </w:rPr>
              <w:t>WF1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TC7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WF1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r>
              <w:rPr>
                <w:sz w:val="16"/>
              </w:rPr>
              <w:t>TC8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6"/>
              </w:rPr>
              <w:t>WF1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TC9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WF1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r>
              <w:rPr>
                <w:sz w:val="16"/>
              </w:rPr>
              <w:t>TC10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6"/>
              </w:rPr>
              <w:t>WF1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TC11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WF1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r>
              <w:rPr>
                <w:sz w:val="16"/>
              </w:rPr>
              <w:t>TC12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6"/>
              </w:rPr>
              <w:t>WF1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TC13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WF1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r>
              <w:rPr>
                <w:sz w:val="16"/>
              </w:rPr>
              <w:t>TC14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6"/>
              </w:rPr>
              <w:t>WF1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  <w:shd w:val="clear" w:color="auto" w:fill="FFF3E0"/>
          </w:tcPr>
          <w:p>
            <w:r>
              <w:rPr>
                <w:sz w:val="16"/>
              </w:rPr>
              <w:t>TC15</w:t>
            </w:r>
          </w:p>
        </w:tc>
        <w:tc>
          <w:tcPr>
            <w:tcW w:type="dxa" w:w="2880"/>
            <w:shd w:val="clear" w:color="auto" w:fill="FFF3E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40"/>
            <w:shd w:val="clear" w:color="auto" w:fill="FFF3E0"/>
          </w:tcPr>
          <w:p>
            <w:r>
              <w:rPr>
                <w:sz w:val="16"/>
              </w:rPr>
              <w:t>Not in demo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r>
              <w:rPr>
                <w:sz w:val="16"/>
              </w:rPr>
              <w:t>TC16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6"/>
              </w:rPr>
              <w:t>WF1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  <w:shd w:val="clear" w:color="auto" w:fill="FFF3E0"/>
          </w:tcPr>
          <w:p>
            <w:r>
              <w:rPr>
                <w:sz w:val="16"/>
              </w:rPr>
              <w:t>TC17</w:t>
            </w:r>
          </w:p>
        </w:tc>
        <w:tc>
          <w:tcPr>
            <w:tcW w:type="dxa" w:w="2880"/>
            <w:shd w:val="clear" w:color="auto" w:fill="FFF3E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40"/>
            <w:shd w:val="clear" w:color="auto" w:fill="FFF3E0"/>
          </w:tcPr>
          <w:p>
            <w:r>
              <w:rPr>
                <w:sz w:val="16"/>
              </w:rPr>
              <w:t>Not in demo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r>
              <w:rPr>
                <w:sz w:val="16"/>
              </w:rPr>
              <w:t>TC18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6"/>
              </w:rPr>
              <w:t>WF1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TC19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WF3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r>
              <w:rPr>
                <w:sz w:val="16"/>
              </w:rPr>
              <w:t>TC20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6"/>
              </w:rPr>
              <w:t>WF3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TC21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WF3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r>
              <w:rPr>
                <w:sz w:val="16"/>
              </w:rPr>
              <w:t>TC22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6"/>
              </w:rPr>
              <w:t>WF1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TC23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WF4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r>
              <w:rPr>
                <w:sz w:val="16"/>
              </w:rPr>
              <w:t>TC24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6"/>
              </w:rPr>
              <w:t>WF4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TC25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WF4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r>
              <w:rPr>
                <w:sz w:val="16"/>
              </w:rPr>
              <w:t>TC26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6"/>
              </w:rPr>
              <w:t>WF4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TC27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WF4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r>
              <w:rPr>
                <w:sz w:val="16"/>
              </w:rPr>
              <w:t>TC28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6"/>
              </w:rPr>
              <w:t>WF3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TC29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WF3, WF4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r>
              <w:rPr>
                <w:sz w:val="16"/>
              </w:rPr>
              <w:t>TC30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6"/>
              </w:rPr>
              <w:t>WF4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TC31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WF3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r>
              <w:rPr>
                <w:sz w:val="16"/>
              </w:rPr>
              <w:t>TC32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6"/>
              </w:rPr>
              <w:t>WF2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TC33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WF2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r>
              <w:rPr>
                <w:sz w:val="16"/>
              </w:rPr>
              <w:t>TC34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6"/>
              </w:rPr>
              <w:t>WF2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TC35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WF1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r>
              <w:rPr>
                <w:sz w:val="16"/>
              </w:rPr>
              <w:t>TC36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6"/>
              </w:rPr>
              <w:t>WF1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TC37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WF3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r>
              <w:rPr>
                <w:sz w:val="16"/>
              </w:rPr>
              <w:t>TC38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6"/>
              </w:rPr>
              <w:t>WF4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TC39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WF4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Covered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r>
              <w:rPr>
                <w:sz w:val="16"/>
              </w:rPr>
              <w:t>TC40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16"/>
              </w:rPr>
              <w:t>WF1</w:t>
            </w:r>
          </w:p>
        </w:tc>
        <w:tc>
          <w:tcPr>
            <w:tcW w:type="dxa" w:w="1440"/>
            <w:shd w:val="clear" w:color="auto" w:fill="F2F2F2"/>
          </w:tcPr>
          <w:p>
            <w:r>
              <w:rPr>
                <w:sz w:val="16"/>
              </w:rPr>
              <w:t>Covered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