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e95f5eaa9b94d9d" /><Relationship Type="http://schemas.openxmlformats.org/package/2006/relationships/metadata/core-properties" Target="/package/services/metadata/core-properties/15ad6022e5a34fbd81231b9d24b4c0f6.psmdcp" Id="Ree771a61eda14170" /></Relationships>
</file>

<file path=word/document.xml><?xml version="1.0" encoding="utf-8"?>
<w:document xmlns:w="http://schemas.openxmlformats.org/wordprocessingml/2006/main">
  <w:body>
    <w:p>
      <w:pPr>
        <w:pStyle w:val="Heading1"/>
        <w:pBdr>
          <w:left w:val="single" w:color="7B93DB" w:sz="48" w:space="12"/>
        </w:pBdr>
        <w:ind w:left="360"/>
      </w:pPr>
      <w:r>
        <w:rPr>
          <w:color w:val="7B93DB"/>
        </w:rPr>
        <w:t xml:space="preserve">Jazyk a komunikácia</w:t>
      </w:r>
    </w:p>
    <w:p>
      <w:pPr>
        <w:pStyle w:val="SkvpPodnadpisOblasti"/>
        <w:ind w:left="360"/>
      </w:pPr>
      <w:r>
        <w:t xml:space="preserve">Vzdelávacia oblasť  •  9 predmetov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7B93DB"/>
        </w:rPr>
        <w:t xml:space="preserve">01</w:t>
      </w:r>
      <w:r>
        <w:tab/>
      </w:r>
      <w:r>
        <w:t xml:space="preserve">Slovenský jazyk a literatúra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7B93DB"/>
        </w:rPr>
        <w:t xml:space="preserve">02</w:t>
      </w:r>
      <w:r>
        <w:tab/>
      </w:r>
      <w:r>
        <w:t xml:space="preserve">Anglický jazyk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7B93DB"/>
        </w:rPr>
        <w:t xml:space="preserve">03</w:t>
      </w:r>
      <w:r>
        <w:tab/>
      </w:r>
      <w:r>
        <w:t xml:space="preserve">Nemecký jazyk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7B93DB"/>
        </w:rPr>
        <w:t xml:space="preserve">04</w:t>
      </w:r>
      <w:r>
        <w:tab/>
      </w:r>
      <w:r>
        <w:t xml:space="preserve">Ruský jazyk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7B93DB"/>
        </w:rPr>
        <w:t xml:space="preserve">05</w:t>
      </w:r>
      <w:r>
        <w:tab/>
      </w:r>
      <w:r>
        <w:t xml:space="preserve">Seminár zo slovenského jazyka a literatúry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7B93DB"/>
        </w:rPr>
        <w:t xml:space="preserve">06</w:t>
      </w:r>
      <w:r>
        <w:tab/>
      </w:r>
      <w:r>
        <w:t xml:space="preserve">Konverzácia v anglickom jazyku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7B93DB"/>
        </w:rPr>
        <w:t xml:space="preserve">07</w:t>
      </w:r>
      <w:r>
        <w:tab/>
      </w:r>
      <w:r>
        <w:t xml:space="preserve">Konverzácia v nemeckom jazyku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7B93DB"/>
        </w:rPr>
        <w:t xml:space="preserve">08</w:t>
      </w:r>
      <w:r>
        <w:tab/>
      </w:r>
      <w:r>
        <w:t xml:space="preserve">Reálie v anglickom jazyku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7B93DB"/>
        </w:rPr>
        <w:t xml:space="preserve">09</w:t>
      </w:r>
      <w:r>
        <w:tab/>
      </w:r>
      <w:r>
        <w:t xml:space="preserve">Jazykom k maturite</w:t>
      </w:r>
    </w:p>
    <w:p>
      <w:pPr>
        <w:pStyle w:val="Heading3"/>
        <w:pageBreakBefore/>
      </w:pPr>
      <w:r>
        <w:rPr>
          <w:color w:val="7B93DB"/>
        </w:rPr>
        <w:t xml:space="preserve">Charakteristika vzdelávacej oblasti</w:t>
      </w:r>
    </w:p>
    <w:p>
      <w:pPr/>
      <w:r>
        <w:t xml:space="preserve">Vzdelávaciu oblasť Jazyk a komunikácia tvoria vyučovacie predmety zahrnuté do troch skupín: vyučovacie jazyky¹, druhý jazyk², cudzie jazyky a druhý vyučovací jazyk v bilingválnom štúdiu. Spoločným menovateľom oblasti je jazyk, ktorý sa chápe ako potenciálny zdroj osobného a kultúrneho obohatenia človeka, nástroj myslenia a komunikácie a prostriedok na vyjadrovanie citov a pocitov. Vzdelávanie preto vedie k vnímaniu a postupnému osvojovaniu si jazyka ako bohatého mnohotvárneho prostriedku na získavanie a odovzdávanie informácií, k zvyšovaniu jazykovej kultúry ústnych i písomných jazykových prejavov žiakov a k rozvíjaniu čitateľských kompetencií zameraných na prácu s textom (čítanie s porozumením, deklamácia, počúvanie s porozumením), na jeho analýzu a hodnotenie.</w:t>
      </w:r>
    </w:p>
    <w:p>
      <w:pPr/>
      <w:r>
        <w:t xml:space="preserve">Špecifickou zložkou oblasti je literatúra, ktorá spája vyučovacie predmety zahrnuté v skupinách vyučovacie jazyky a druhý jazyk. Jej základom sa stáva postupné rozvíjanie analytického čítania a rozvoj schopnosti pracovať s významom literárneho textu na vyššej individuálnej úrovni.</w:t>
      </w:r>
    </w:p>
    <w:p>
      <w:pPr/>
      <w:r>
        <w:rPr>
          <w:i/>
        </w:rPr>
        <w:t xml:space="preserve">¹ Vyučovacie jazyky: slovenský jazyk a literatúra v školách s vyučovacím jazykom slovenským, jazyk národnostnej menšiny a literatúra v školách s vyučovacím jazykom národnostnej menšiny.</w:t>
      </w:r>
    </w:p>
    <w:p>
      <w:pPr/>
      <w:r>
        <w:rPr>
          <w:i/>
        </w:rPr>
        <w:t xml:space="preserve">² Druhý jazyk: slovenský jazyk a literatúra v školách s vyučovacím jazykom národnostnej menšiny okrem maďarskej národnostnej menšiny, slovenský jazyk a slovenská literatúra v školách s vyučovacím jazykom maďarským, jazyk národnostnej menšiny a literatúra v školách s vyučovacím jazykom národnostnej menšiny.</w:t>
      </w:r>
    </w:p>
    <w:p>
      <w:pPr/>
      <w:r>
        <w:rPr>
          <w:i/>
        </w:rPr>
        <w:t xml:space="preserve">Zdroj: Štátny vzdelávací program pre gymnáziá (úplné stredné všeobecné vzdelávanie), kapitola 4.1 Jazyk a komunikácia. Štátny pedagogický ústav, schválilo MŠVVaŠ SR 20. 3. 2015 pod č. 2015-7846/10840:1-10B0, v znení dodatkov č. 1 – 5.</w:t>
      </w:r>
    </w:p>
    <w:p>
      <w:pPr>
        <w:pStyle w:val="SkvpOblastMala"/>
        <w:pageBreakBefore/>
      </w:pPr>
      <w:r>
        <w:rPr>
          <w:color w:val="7B93DB"/>
        </w:rPr>
        <w:t xml:space="preserve">Jazyk a komunikácia  •  01</w:t>
      </w:r>
    </w:p>
    <w:p>
      <w:pPr>
        <w:pStyle w:val="Heading2"/>
        <w:pBdr>
          <w:bottom w:val="single" w:color="7B93DB" w:sz="12" w:space="6"/>
        </w:pBdr>
      </w:pPr>
      <w:r>
        <w:t xml:space="preserve">Slovenský jazyk a literatúra</w:t>
      </w:r>
    </w:p>
    <w:p>
      <w:pPr>
        <w:pStyle w:val="Heading3"/>
      </w:pPr>
      <w:r>
        <w:rPr>
          <w:color w:val="7B93DB"/>
        </w:rPr>
        <w:t xml:space="preserve">Charakteristika predmetu</w:t>
      </w:r>
    </w:p>
    <w:p>
      <w:pPr/>
      <w:r>
        <w:t xml:space="preserve">Predmet rozvíja </w:t>
      </w:r>
      <w:r>
        <w:rPr>
          <w:b/>
        </w:rPr>
        <w:t xml:space="preserve">komunikačné</w:t>
      </w:r>
      <w:r>
        <w:t xml:space="preserve"> a </w:t>
      </w:r>
      <w:r>
        <w:rPr>
          <w:i/>
        </w:rPr>
        <w:t xml:space="preserve">čitateľské</w:t>
      </w:r>
      <w:r>
        <w:t xml:space="preserve"> kompetencie žiakov – </w:t>
      </w:r>
      <w:r>
        <w:rPr>
          <w:u w:val="single"/>
        </w:rPr>
        <w:t xml:space="preserve">ľščťžýáíéúäôň</w:t>
      </w:r>
      <w:r>
        <w:t xml:space="preserve">.</w:t>
      </w:r>
      <w:r>
        <w:br/>
      </w:r>
      <w:r>
        <w:t xml:space="preserve">Druhý riadok odseku.</w:t>
      </w:r>
    </w:p>
    <w:p>
      <w:pPr>
        <w:pStyle w:val="Heading4"/>
      </w:pPr>
      <w:r>
        <w:t xml:space="preserve">Ciele predmetu</w:t>
      </w:r>
    </w:p>
    <w:p>
      <w:pPr>
        <w:pStyle w:val="ListParagraph"/>
        <w:numPr>
          <w:ilvl w:val="0"/>
          <w:numId w:val="10"/>
        </w:numPr>
      </w:pPr>
      <w:r>
        <w:t xml:space="preserve">rozvíjať slovnú zásobu</w:t>
      </w:r>
    </w:p>
    <w:p>
      <w:pPr>
        <w:pStyle w:val="ListParagraph"/>
        <w:numPr>
          <w:ilvl w:val="0"/>
          <w:numId w:val="10"/>
        </w:numPr>
      </w:pPr>
      <w:r>
        <w:t xml:space="preserve">čítať s porozumením</w:t>
      </w:r>
    </w:p>
    <w:p>
      <w:pPr>
        <w:pStyle w:val="ListParagraph"/>
        <w:numPr>
          <w:ilvl w:val="1"/>
          <w:numId w:val="11"/>
        </w:numPr>
      </w:pPr>
      <w:r>
        <w:t xml:space="preserve">umelecké texty</w:t>
      </w:r>
    </w:p>
    <w:p>
      <w:pPr>
        <w:pStyle w:val="ListParagraph"/>
        <w:numPr>
          <w:ilvl w:val="1"/>
          <w:numId w:val="11"/>
        </w:numPr>
      </w:pPr>
      <w:r>
        <w:t xml:space="preserve">odborné texty</w:t>
      </w:r>
    </w:p>
    <w:p>
      <w:pPr>
        <w:pStyle w:val="ListParagraph"/>
        <w:numPr>
          <w:ilvl w:val="0"/>
          <w:numId w:val="10"/>
        </w:numPr>
      </w:pPr>
      <w:r>
        <w:t xml:space="preserve">písať jasne a výstižne</w:t>
      </w:r>
    </w:p>
    <w:p>
      <w:pPr>
        <w:pStyle w:val="Heading3"/>
      </w:pPr>
      <w:r>
        <w:rPr>
          <w:color w:val="7B93DB"/>
        </w:rPr>
        <w:t xml:space="preserve">Obsahový a výkonový štandard</w:t>
      </w:r>
    </w:p>
    <w:tbl>
      <w:tblPr>
        <w:tblW w:w="5000" w:type="pct"/>
        <w:tblBorders>
          <w:top w:val="single" w:color="CBD2D9" w:sz="4"/>
          <w:left w:val="single" w:color="CBD2D9" w:sz="4"/>
          <w:bottom w:val="single" w:color="CBD2D9" w:sz="4"/>
          <w:right w:val="single" w:color="CBD2D9" w:sz="4"/>
          <w:insideH w:val="single" w:color="CBD2D9" w:sz="4"/>
          <w:insideV w:val="single" w:color="CBD2D9" w:sz="4"/>
        </w:tblBorders>
        <w:tblLayout w:type="fixed"/>
        <w:tblCellMar>
          <w:top w:w="50" w:type="dxa"/>
          <w:left w:w="85" w:type="dxa"/>
          <w:bottom w:w="30" w:type="dxa"/>
          <w:right w:w="85" w:type="dxa"/>
        </w:tblCellMar>
      </w:tblPr>
      <w:tblGrid>
        <w:gridCol w:w="2066"/>
        <w:gridCol w:w="3099"/>
        <w:gridCol w:w="4132"/>
      </w:tblGrid>
      <w:tr>
        <w:trPr>
          <w:tblHeader/>
        </w:trPr>
        <w:tc>
          <w:tcPr>
            <w:tcW w:w="2066" w:type="dxa"/>
            <w:shd w:val="clear" w:color="auto" w:fill="F3F4F6"/>
          </w:tcPr>
          <w:p>
            <w:pPr>
              <w:pStyle w:val="SkvpTabulka"/>
            </w:pPr>
            <w:r>
              <w:rPr>
                <w:b/>
              </w:rPr>
              <w:t xml:space="preserve">Tematický celok</w:t>
            </w:r>
          </w:p>
        </w:tc>
        <w:tc>
          <w:tcPr>
            <w:tcW w:w="3099" w:type="dxa"/>
            <w:shd w:val="clear" w:color="auto" w:fill="F3F4F6"/>
          </w:tcPr>
          <w:p>
            <w:pPr>
              <w:pStyle w:val="SkvpTabulka"/>
            </w:pPr>
            <w:r>
              <w:rPr>
                <w:b/>
              </w:rPr>
              <w:t xml:space="preserve">Obsahový štandard</w:t>
            </w:r>
          </w:p>
        </w:tc>
        <w:tc>
          <w:tcPr>
            <w:tcW w:w="4132" w:type="dxa"/>
            <w:shd w:val="clear" w:color="auto" w:fill="F3F4F6"/>
          </w:tcPr>
          <w:p>
            <w:pPr>
              <w:pStyle w:val="SkvpTabulka"/>
            </w:pPr>
            <w:r>
              <w:rPr>
                <w:b/>
              </w:rPr>
              <w:t xml:space="preserve">Výkonový štandard</w:t>
            </w:r>
          </w:p>
        </w:tc>
      </w:tr>
      <w:tr>
        <w:tc>
          <w:tcPr>
            <w:tcW w:w="2066" w:type="dxa"/>
            <w:vMerge w:val="restart"/>
          </w:tcPr>
          <w:p>
            <w:pPr>
              <w:pStyle w:val="SkvpTabulka"/>
            </w:pPr>
            <w:r>
              <w:t xml:space="preserve">Jazyk a reč</w:t>
            </w:r>
          </w:p>
        </w:tc>
        <w:tc>
          <w:tcPr>
            <w:tcW w:w="3099" w:type="dxa"/>
          </w:tcPr>
          <w:p>
            <w:pPr>
              <w:pStyle w:val="SkvpTabulka"/>
            </w:pPr>
            <w:r>
              <w:t xml:space="preserve">jazykový systém</w:t>
            </w:r>
          </w:p>
        </w:tc>
        <w:tc>
          <w:tcPr>
            <w:tcW w:w="4132" w:type="dxa"/>
          </w:tcPr>
          <w:p>
            <w:pPr>
              <w:pStyle w:val="SkvpTabulka"/>
            </w:pPr>
            <w:r>
              <w:t xml:space="preserve">Žiak vie vysvetliť pojem jazyk.</w:t>
            </w:r>
          </w:p>
        </w:tc>
      </w:tr>
      <w:tr>
        <w:tc>
          <w:tcPr>
            <w:tcW w:w="2066" w:type="dxa"/>
            <w:vMerge w:val="continue"/>
          </w:tcPr>
          <w:p>
            <w:pPr>
              <w:pStyle w:val="SkvpTabulka"/>
            </w:pPr>
          </w:p>
        </w:tc>
        <w:tc>
          <w:tcPr>
            <w:tcW w:w="7231" w:type="dxa"/>
            <w:gridSpan w:val="2"/>
          </w:tcPr>
          <w:p>
            <w:pPr>
              <w:pStyle w:val="SkvpTabulka"/>
            </w:pPr>
            <w:r>
              <w:t xml:space="preserve">spisovný jazyk a nárečia</w:t>
            </w:r>
          </w:p>
        </w:tc>
      </w:tr>
    </w:tbl>
    <w:p>
      <w:pPr>
        <w:spacing w:after="60"/>
      </w:pPr>
    </w:p>
    <w:p>
      <w:pPr>
        <w:pStyle w:val="Heading5"/>
      </w:pPr>
      <w:r>
        <w:t xml:space="preserve">Poznámka</w:t>
      </w:r>
    </w:p>
    <w:p>
      <w:pPr>
        <w:ind w:left="340"/>
        <w:jc w:val="both"/>
      </w:pPr>
      <w:r>
        <w:t xml:space="preserve">Text zarovnaný do bloku.</w:t>
      </w:r>
    </w:p>
    <w:p>
      <w:pPr/>
      <w:r>
        <w:t xml:space="preserve">Zmena urobená vo Worde.</w:t>
      </w:r>
    </w:p>
    <w:p>
      <w:pPr>
        <w:pStyle w:val="SkvpOblastMala"/>
        <w:pageBreakBefore/>
      </w:pPr>
      <w:r>
        <w:rPr>
          <w:color w:val="7B93DB"/>
        </w:rPr>
        <w:t xml:space="preserve">Jazyk a komunikácia  •  02</w:t>
      </w:r>
    </w:p>
    <w:p>
      <w:pPr>
        <w:pStyle w:val="Heading2"/>
        <w:pBdr>
          <w:bottom w:val="single" w:color="7B93DB" w:sz="12" w:space="6"/>
        </w:pBdr>
      </w:pPr>
      <w:r>
        <w:t xml:space="preserve">Anglický jazyk</w:t>
      </w:r>
    </w:p>
    <w:p>
      <w:pPr>
        <w:pStyle w:val="Heading3"/>
      </w:pPr>
      <w:r>
        <w:rPr>
          <w:color w:val="7B93DB"/>
        </w:rPr>
        <w:t xml:space="preserve">Charakteristika predmetu</w:t>
      </w:r>
    </w:p>
    <w:p>
      <w:pPr/>
      <w:r>
        <w:t xml:space="preserve">Predmet rozvíja </w:t>
      </w:r>
      <w:r>
        <w:rPr>
          <w:b/>
        </w:rPr>
        <w:t xml:space="preserve">komunikačné</w:t>
      </w:r>
      <w:r>
        <w:t xml:space="preserve"> a </w:t>
      </w:r>
      <w:r>
        <w:rPr>
          <w:i/>
        </w:rPr>
        <w:t xml:space="preserve">čitateľské</w:t>
      </w:r>
      <w:r>
        <w:t xml:space="preserve"> kompetencie žiakov – </w:t>
      </w:r>
      <w:r>
        <w:rPr>
          <w:u w:val="single"/>
        </w:rPr>
        <w:t xml:space="preserve">ľščťžýáíéúäôň</w:t>
      </w:r>
      <w:r>
        <w:t xml:space="preserve">.</w:t>
      </w:r>
      <w:r>
        <w:br/>
      </w:r>
      <w:r>
        <w:t xml:space="preserve">Druhý riadok odseku.</w:t>
      </w:r>
    </w:p>
    <w:p>
      <w:pPr>
        <w:pStyle w:val="Heading4"/>
      </w:pPr>
      <w:r>
        <w:t xml:space="preserve">Ciele predmetu</w:t>
      </w:r>
    </w:p>
    <w:p>
      <w:pPr>
        <w:pStyle w:val="ListParagraph"/>
        <w:numPr>
          <w:ilvl w:val="0"/>
          <w:numId w:val="12"/>
        </w:numPr>
      </w:pPr>
      <w:r>
        <w:t xml:space="preserve">rozvíjať slovnú zásobu</w:t>
      </w:r>
    </w:p>
    <w:p>
      <w:pPr>
        <w:pStyle w:val="ListParagraph"/>
        <w:numPr>
          <w:ilvl w:val="0"/>
          <w:numId w:val="12"/>
        </w:numPr>
      </w:pPr>
      <w:r>
        <w:t xml:space="preserve">čítať s porozumením</w:t>
      </w:r>
    </w:p>
    <w:p>
      <w:pPr>
        <w:pStyle w:val="ListParagraph"/>
        <w:numPr>
          <w:ilvl w:val="1"/>
          <w:numId w:val="13"/>
        </w:numPr>
      </w:pPr>
      <w:r>
        <w:t xml:space="preserve">umelecké texty</w:t>
      </w:r>
    </w:p>
    <w:p>
      <w:pPr>
        <w:pStyle w:val="ListParagraph"/>
        <w:numPr>
          <w:ilvl w:val="1"/>
          <w:numId w:val="13"/>
        </w:numPr>
      </w:pPr>
      <w:r>
        <w:t xml:space="preserve">odborné texty</w:t>
      </w:r>
    </w:p>
    <w:p>
      <w:pPr>
        <w:pStyle w:val="ListParagraph"/>
        <w:numPr>
          <w:ilvl w:val="0"/>
          <w:numId w:val="12"/>
        </w:numPr>
      </w:pPr>
      <w:r>
        <w:t xml:space="preserve">písať jasne a výstižne</w:t>
      </w:r>
    </w:p>
    <w:p>
      <w:pPr>
        <w:pStyle w:val="SkvpOblastMala"/>
        <w:pageBreakBefore/>
      </w:pPr>
      <w:r>
        <w:rPr>
          <w:color w:val="7B93DB"/>
        </w:rPr>
        <w:t xml:space="preserve">Jazyk a komunikácia  •  03</w:t>
      </w:r>
    </w:p>
    <w:p>
      <w:pPr>
        <w:pStyle w:val="Heading2"/>
        <w:pBdr>
          <w:bottom w:val="single" w:color="7B93DB" w:sz="12" w:space="6"/>
        </w:pBdr>
      </w:pPr>
      <w:r>
        <w:t xml:space="preserve">Nemecký jazyk</w:t>
      </w:r>
    </w:p>
    <w:p>
      <w:pPr>
        <w:pStyle w:val="SkvpPoznamka"/>
      </w:pPr>
      <w:r>
        <w:t xml:space="preserve">Učebná osnova predmetu zatiaľ nie je spracovaná.</w:t>
      </w:r>
    </w:p>
    <w:p>
      <w:pPr>
        <w:pStyle w:val="SkvpOblastMala"/>
        <w:pageBreakBefore/>
      </w:pPr>
      <w:r>
        <w:rPr>
          <w:color w:val="7B93DB"/>
        </w:rPr>
        <w:t xml:space="preserve">Jazyk a komunikácia  •  04</w:t>
      </w:r>
    </w:p>
    <w:p>
      <w:pPr>
        <w:pStyle w:val="Heading2"/>
        <w:pBdr>
          <w:bottom w:val="single" w:color="7B93DB" w:sz="12" w:space="6"/>
        </w:pBdr>
      </w:pPr>
      <w:r>
        <w:t xml:space="preserve">Ruský jazyk</w:t>
      </w:r>
    </w:p>
    <w:p>
      <w:pPr>
        <w:pStyle w:val="SkvpPoznamka"/>
      </w:pPr>
      <w:r>
        <w:t xml:space="preserve">Učebná osnova predmetu zatiaľ nie je spracovaná.</w:t>
      </w:r>
    </w:p>
    <w:p>
      <w:pPr>
        <w:pStyle w:val="SkvpOblastMala"/>
        <w:pageBreakBefore/>
      </w:pPr>
      <w:r>
        <w:rPr>
          <w:color w:val="7B93DB"/>
        </w:rPr>
        <w:t xml:space="preserve">Jazyk a komunikácia  •  05</w:t>
      </w:r>
    </w:p>
    <w:p>
      <w:pPr>
        <w:pStyle w:val="Heading2"/>
        <w:pBdr>
          <w:bottom w:val="single" w:color="7B93DB" w:sz="12" w:space="6"/>
        </w:pBdr>
      </w:pPr>
      <w:r>
        <w:t xml:space="preserve">Seminár zo slovenského jazyka a literatúry</w:t>
      </w:r>
    </w:p>
    <w:p>
      <w:pPr>
        <w:pStyle w:val="SkvpPoznamka"/>
      </w:pPr>
      <w:r>
        <w:t xml:space="preserve">Učebná osnova predmetu zatiaľ nie je spracovaná.</w:t>
      </w:r>
    </w:p>
    <w:p>
      <w:pPr>
        <w:pStyle w:val="SkvpOblastMala"/>
        <w:pageBreakBefore/>
      </w:pPr>
      <w:r>
        <w:rPr>
          <w:color w:val="7B93DB"/>
        </w:rPr>
        <w:t xml:space="preserve">Jazyk a komunikácia  •  06</w:t>
      </w:r>
    </w:p>
    <w:p>
      <w:pPr>
        <w:pStyle w:val="Heading2"/>
        <w:pBdr>
          <w:bottom w:val="single" w:color="7B93DB" w:sz="12" w:space="6"/>
        </w:pBdr>
      </w:pPr>
      <w:r>
        <w:t xml:space="preserve">Konverzácia v anglickom jazyku</w:t>
      </w:r>
    </w:p>
    <w:p>
      <w:pPr>
        <w:pStyle w:val="SkvpPoznamka"/>
      </w:pPr>
      <w:r>
        <w:t xml:space="preserve">Učebná osnova predmetu zatiaľ nie je spracovaná.</w:t>
      </w:r>
    </w:p>
    <w:p>
      <w:pPr>
        <w:pStyle w:val="SkvpOblastMala"/>
        <w:pageBreakBefore/>
      </w:pPr>
      <w:r>
        <w:rPr>
          <w:color w:val="7B93DB"/>
        </w:rPr>
        <w:t xml:space="preserve">Jazyk a komunikácia  •  07</w:t>
      </w:r>
    </w:p>
    <w:p>
      <w:pPr>
        <w:pStyle w:val="Heading2"/>
        <w:pBdr>
          <w:bottom w:val="single" w:color="7B93DB" w:sz="12" w:space="6"/>
        </w:pBdr>
      </w:pPr>
      <w:r>
        <w:t xml:space="preserve">Konverzácia v nemeckom jazyku</w:t>
      </w:r>
    </w:p>
    <w:p>
      <w:pPr>
        <w:pStyle w:val="SkvpPoznamka"/>
      </w:pPr>
      <w:r>
        <w:t xml:space="preserve">Učebná osnova predmetu zatiaľ nie je spracovaná.</w:t>
      </w:r>
    </w:p>
    <w:p>
      <w:pPr>
        <w:pStyle w:val="SkvpOblastMala"/>
        <w:pageBreakBefore/>
      </w:pPr>
      <w:r>
        <w:rPr>
          <w:color w:val="7B93DB"/>
        </w:rPr>
        <w:t xml:space="preserve">Jazyk a komunikácia  •  08</w:t>
      </w:r>
    </w:p>
    <w:p>
      <w:pPr>
        <w:pStyle w:val="Heading2"/>
        <w:pBdr>
          <w:bottom w:val="single" w:color="7B93DB" w:sz="12" w:space="6"/>
        </w:pBdr>
      </w:pPr>
      <w:r>
        <w:t xml:space="preserve">Reálie v anglickom jazyku</w:t>
      </w:r>
    </w:p>
    <w:p>
      <w:pPr>
        <w:pStyle w:val="SkvpPoznamka"/>
      </w:pPr>
      <w:r>
        <w:t xml:space="preserve">Učebná osnova predmetu zatiaľ nie je spracovaná.</w:t>
      </w:r>
    </w:p>
    <w:p>
      <w:pPr>
        <w:pStyle w:val="SkvpOblastMala"/>
        <w:pageBreakBefore/>
      </w:pPr>
      <w:r>
        <w:rPr>
          <w:color w:val="7B93DB"/>
        </w:rPr>
        <w:t xml:space="preserve">Jazyk a komunikácia  •  09</w:t>
      </w:r>
    </w:p>
    <w:p>
      <w:pPr>
        <w:pStyle w:val="Heading2"/>
        <w:pBdr>
          <w:bottom w:val="single" w:color="7B93DB" w:sz="12" w:space="6"/>
        </w:pBdr>
      </w:pPr>
      <w:r>
        <w:t xml:space="preserve">Jazykom k maturite</w:t>
      </w:r>
    </w:p>
    <w:p>
      <w:pPr>
        <w:pStyle w:val="SkvpPoznamka"/>
      </w:pPr>
      <w:r>
        <w:t xml:space="preserve">Učebná osnova predmetu zatiaľ nie je spracovaná.</w:t>
      </w:r>
    </w:p>
    <w:sectPr>
      <w:headerReference xmlns:r="http://schemas.openxmlformats.org/officeDocument/2006/relationships" w:type="default" r:id="Rfb664450d83b447f"/>
      <w:footerReference xmlns:r="http://schemas.openxmlformats.org/officeDocument/2006/relationships" w:type="default" r:id="Rd51d660053624c9e"/>
      <w:pgSz w:w="11906" w:h="16838"/>
      <w:pgMar w:top="1474" w:right="1247" w:bottom="1361" w:left="1361" w:header="680" w:footer="624" w:gutter="0"/>
    </w:sectPr>
  </w:body>
</w:document>
</file>

<file path=word/footer1.xml><?xml version="1.0" encoding="utf-8"?>
<w:ftr xmlns:w="http://schemas.openxmlformats.org/wordprocessingml/2006/main">
  <w:p>
    <w:pPr>
      <w:pStyle w:val="Footer"/>
      <w:jc w:val="center"/>
    </w:pPr>
    <w:r>
      <w:t xml:space="preserve">Strana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z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tbl>
    <w:tblPr>
      <w:tblW w:w="9298" w:type="dxa"/>
      <w:tblBorders>
        <w:top w:val="none"/>
        <w:left w:val="none"/>
        <w:bottom w:val="single" w:color="CBD2D9" w:sz="4" w:space="0"/>
        <w:right w:val="none"/>
        <w:insideH w:val="none"/>
        <w:insideV w:val="none"/>
      </w:tblBorders>
      <w:tblLayout w:type="fixed"/>
      <w:tblCellMar>
        <w:top w:w="0" w:type="dxa"/>
        <w:left w:w="0" w:type="dxa"/>
        <w:bottom w:w="60" w:type="dxa"/>
        <w:right w:w="0" w:type="dxa"/>
      </w:tblCellMar>
    </w:tblPr>
    <w:tblGrid>
      <w:gridCol w:w="9298"/>
    </w:tblGrid>
    <w:tr>
      <w:tc>
        <w:tcPr>
          <w:tcW w:w="9298" w:type="dxa"/>
          <w:vAlign w:val="center"/>
        </w:tcPr>
        <w:p>
          <w:pPr>
            <w:pStyle w:val="Header"/>
            <w:jc w:val="left"/>
          </w:pPr>
          <w:r>
            <w:t xml:space="preserve">Školský vzdelávací program – Učebné osnovy</w:t>
          </w:r>
        </w:p>
      </w:tc>
    </w:tr>
  </w:tbl>
  <w:p>
    <w:pPr>
      <w:pStyle w:val="Header"/>
      <w:spacing w:before="0" w:after="0" w:line="20" w:lineRule="exact"/>
    </w:pPr>
  </w:p>
</w:hdr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00"/>
      </w:pPr>
    </w:lvl>
    <w:lvl w:ilvl="1">
      <w:start w:val="1"/>
      <w:numFmt w:val="bullet"/>
      <w:lvlText w:val="◦"/>
      <w:lvlJc w:val="left"/>
      <w:pPr>
        <w:ind w:left="1080" w:hanging="300"/>
      </w:pPr>
    </w:lvl>
    <w:lvl w:ilvl="2">
      <w:start w:val="1"/>
      <w:numFmt w:val="bullet"/>
      <w:lvlText w:val="▪"/>
      <w:lvlJc w:val="left"/>
      <w:pPr>
        <w:ind w:left="1440" w:hanging="30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00"/>
      </w:pPr>
    </w:lvl>
    <w:lvl w:ilvl="1">
      <w:start w:val="1"/>
      <w:numFmt w:val="lowerLetter"/>
      <w:lvlText w:val="%2)"/>
      <w:lvlJc w:val="left"/>
      <w:pPr>
        <w:ind w:left="1080" w:hanging="300"/>
      </w:pPr>
    </w:lvl>
    <w:lvl w:ilvl="2">
      <w:start w:val="1"/>
      <w:numFmt w:val="decimal"/>
      <w:lvlText w:val="%3."/>
      <w:lvlJc w:val="left"/>
      <w:pPr>
        <w:ind w:left="1440" w:hanging="300"/>
      </w:pPr>
    </w:lvl>
  </w:abstractNum>
  <w:num w:numId="10">
    <w:abstractNumId w:val="1"/>
  </w:num>
  <w:num w:numId="11">
    <w:abstractNumId w:val="2"/>
    <w:lvlOverride w:ilvl="0">
      <w:startOverride w:val="1"/>
    </w:lvlOverride>
  </w:num>
  <w:num w:numId="12">
    <w:abstractNumId w:val="1"/>
  </w:num>
  <w:num w:numId="13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defaultTabStop w:val="709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onstantia" w:hAnsi="Constantia" w:eastAsia="Constantia" w:cs="Constantia"/>
        <w:sz w:val="22"/>
        <w:lang w:val="sk-SK"/>
      </w:rPr>
    </w:rPrDefault>
    <w:pPrDefault>
      <w:pPr>
        <w:spacing w:after="100"/>
      </w:pPr>
    </w:pPrDefault>
  </w:docDefaults>
  <w:style w:type="paragraph" w:styleId="Normal" w:default="true">
    <w:name w:val="Normal"/>
    <w:qFormat/>
    <w:pPr>
      <w:spacing w:after="100" w:line="283" w:lineRule="auto"/>
    </w:pPr>
    <w:rPr>
      <w:rFonts w:ascii="Constantia" w:hAnsi="Constantia" w:eastAsia="Constantia" w:cs="Constantia"/>
      <w:color w:val="1F2933"/>
      <w:sz w:val="22"/>
    </w:rPr>
  </w:style>
  <w:style w:type="paragraph" w:styleId="Title">
    <w:name w:val="Title"/>
    <w:basedOn w:val="Normal"/>
    <w:next w:val="Normal"/>
    <w:qFormat/>
    <w:pPr>
      <w:spacing w:before="3400" w:after="200"/>
    </w:pPr>
    <w:rPr>
      <w:rFonts w:ascii="Segoe UI" w:hAnsi="Segoe UI" w:eastAsia="Segoe UI" w:cs="Segoe UI"/>
      <w:b/>
      <w:color w:val="1F2933"/>
      <w:sz w:val="68"/>
    </w:rPr>
  </w:style>
  <w:style w:type="paragraph" w:styleId="Subtitle">
    <w:name w:val="Subtitle"/>
    <w:basedOn w:val="Normal"/>
    <w:next w:val="Normal"/>
    <w:qFormat/>
    <w:pPr>
      <w:spacing w:before="0" w:after="520"/>
    </w:pPr>
    <w:rPr>
      <w:rFonts w:ascii="Constantia" w:hAnsi="Constantia" w:eastAsia="Constantia" w:cs="Constantia"/>
      <w:i/>
      <w:color w:val="3B5BDB"/>
      <w:sz w:val="48"/>
    </w:rPr>
  </w:style>
  <w:style w:type="paragraph" w:styleId="Heading1">
    <w:name w:val="heading 1"/>
    <w:basedOn w:val="Normal"/>
    <w:next w:val="Normal"/>
    <w:qFormat/>
    <w:pPr>
      <w:keepNext/>
      <w:spacing w:before="2800" w:after="200"/>
      <w:outlineLvl w:val="0"/>
    </w:pPr>
    <w:rPr>
      <w:rFonts w:ascii="Segoe UI" w:hAnsi="Segoe UI" w:eastAsia="Segoe UI" w:cs="Segoe UI"/>
      <w:b/>
      <w:color w:val="1F2933"/>
      <w:sz w:val="52"/>
    </w:rPr>
  </w:style>
  <w:style w:type="paragraph" w:styleId="Heading2">
    <w:name w:val="heading 2"/>
    <w:basedOn w:val="Normal"/>
    <w:next w:val="Normal"/>
    <w:qFormat/>
    <w:pPr>
      <w:keepNext/>
      <w:spacing w:before="0" w:after="280"/>
      <w:outlineLvl w:val="1"/>
    </w:pPr>
    <w:rPr>
      <w:rFonts w:ascii="Segoe UI" w:hAnsi="Segoe UI" w:eastAsia="Segoe UI" w:cs="Segoe UI"/>
      <w:b/>
      <w:color w:val="1F2933"/>
      <w:sz w:val="38"/>
    </w:rPr>
  </w:style>
  <w:style w:type="paragraph" w:styleId="Heading3">
    <w:name w:val="heading 3"/>
    <w:basedOn w:val="Normal"/>
    <w:next w:val="Normal"/>
    <w:qFormat/>
    <w:pPr>
      <w:keepNext/>
      <w:spacing w:before="280" w:after="100"/>
      <w:outlineLvl w:val="2"/>
    </w:pPr>
    <w:rPr>
      <w:rFonts w:ascii="Segoe UI" w:hAnsi="Segoe UI" w:eastAsia="Segoe UI" w:cs="Segoe UI"/>
      <w:b/>
      <w:color w:val="1F2933"/>
      <w:sz w:val="26"/>
    </w:rPr>
  </w:style>
  <w:style w:type="paragraph" w:styleId="Heading4">
    <w:name w:val="heading 4"/>
    <w:basedOn w:val="Normal"/>
    <w:next w:val="Normal"/>
    <w:qFormat/>
    <w:pPr>
      <w:keepNext/>
      <w:spacing w:before="200" w:after="80"/>
      <w:outlineLvl w:val="3"/>
    </w:pPr>
    <w:rPr>
      <w:rFonts w:ascii="Segoe UI" w:hAnsi="Segoe UI" w:eastAsia="Segoe UI" w:cs="Segoe UI"/>
      <w:b/>
      <w:color w:val="1F2933"/>
      <w:sz w:val="23"/>
    </w:rPr>
  </w:style>
  <w:style w:type="paragraph" w:styleId="Heading5">
    <w:name w:val="heading 5"/>
    <w:basedOn w:val="Normal"/>
    <w:next w:val="Normal"/>
    <w:qFormat/>
    <w:pPr>
      <w:keepNext/>
      <w:spacing w:before="160" w:after="60"/>
      <w:outlineLvl w:val="4"/>
    </w:pPr>
    <w:rPr>
      <w:rFonts w:ascii="Segoe UI" w:hAnsi="Segoe UI" w:eastAsia="Segoe UI" w:cs="Segoe UI"/>
      <w:i/>
      <w:color w:val="1F2933"/>
      <w:sz w:val="22"/>
    </w:rPr>
  </w:style>
  <w:style w:type="paragraph" w:styleId="ListParagraph">
    <w:name w:val="List Paragraph"/>
    <w:basedOn w:val="Normal"/>
    <w:next w:val="Normal"/>
    <w:qFormat/>
    <w:pPr>
      <w:spacing w:before="0" w:after="50"/>
    </w:pPr>
    <w:rPr>
      <w:rFonts w:ascii="Constantia" w:hAnsi="Constantia" w:eastAsia="Constantia" w:cs="Constantia"/>
      <w:color w:val="1F2933"/>
      <w:sz w:val="22"/>
    </w:rPr>
  </w:style>
  <w:style w:type="paragraph" w:styleId="Header">
    <w:name w:val="header"/>
    <w:basedOn w:val="Normal"/>
    <w:next w:val="Normal"/>
    <w:qFormat/>
    <w:pPr>
      <w:spacing w:before="0" w:after="0"/>
    </w:pPr>
    <w:rPr>
      <w:rFonts w:ascii="Segoe UI" w:hAnsi="Segoe UI" w:eastAsia="Segoe UI" w:cs="Segoe UI"/>
      <w:color w:val="6B7280"/>
      <w:sz w:val="17"/>
    </w:rPr>
  </w:style>
  <w:style w:type="paragraph" w:styleId="Footer">
    <w:name w:val="footer"/>
    <w:basedOn w:val="Normal"/>
    <w:next w:val="Normal"/>
    <w:qFormat/>
    <w:pPr>
      <w:spacing w:before="0" w:after="0"/>
    </w:pPr>
    <w:rPr>
      <w:rFonts w:ascii="Segoe UI" w:hAnsi="Segoe UI" w:eastAsia="Segoe UI" w:cs="Segoe UI"/>
      <w:color w:val="6B7280"/>
      <w:sz w:val="17"/>
    </w:rPr>
  </w:style>
  <w:style w:type="paragraph" w:styleId="SkvpSkola">
    <w:name w:val="SkVP – škola"/>
    <w:basedOn w:val="Normal"/>
    <w:next w:val="Normal"/>
    <w:qFormat/>
    <w:pPr>
      <w:spacing w:before="360" w:after="20"/>
    </w:pPr>
    <w:rPr>
      <w:rFonts w:ascii="Segoe UI" w:hAnsi="Segoe UI" w:eastAsia="Segoe UI" w:cs="Segoe UI"/>
      <w:b/>
      <w:color w:val="1F2933"/>
      <w:sz w:val="26"/>
    </w:rPr>
  </w:style>
  <w:style w:type="paragraph" w:styleId="SkvpAdresa">
    <w:name w:val="SkVP – adresa"/>
    <w:basedOn w:val="Normal"/>
    <w:next w:val="Normal"/>
    <w:qFormat/>
    <w:pPr>
      <w:spacing w:before="0" w:after="0"/>
    </w:pPr>
    <w:rPr>
      <w:rFonts w:ascii="Segoe UI" w:hAnsi="Segoe UI" w:eastAsia="Segoe UI" w:cs="Segoe UI"/>
      <w:color w:val="6B7280"/>
      <w:sz w:val="20"/>
    </w:rPr>
  </w:style>
  <w:style w:type="paragraph" w:styleId="SkvpTitulUdaj">
    <w:name w:val="SkVP – údaj titulnej strany"/>
    <w:basedOn w:val="Normal"/>
    <w:next w:val="Normal"/>
    <w:qFormat/>
    <w:pPr>
      <w:spacing w:before="0" w:after="60"/>
    </w:pPr>
    <w:rPr>
      <w:rFonts w:ascii="Segoe UI" w:hAnsi="Segoe UI" w:eastAsia="Segoe UI" w:cs="Segoe UI"/>
      <w:color w:val="1F2933"/>
      <w:sz w:val="24"/>
    </w:rPr>
  </w:style>
  <w:style w:type="paragraph" w:styleId="SkvpTitulOblast">
    <w:name w:val="SkVP – oblasť na titulnej strane"/>
    <w:basedOn w:val="Normal"/>
    <w:next w:val="Normal"/>
    <w:qFormat/>
    <w:pPr>
      <w:spacing w:before="0" w:after="40"/>
    </w:pPr>
    <w:rPr>
      <w:rFonts w:ascii="Segoe UI" w:hAnsi="Segoe UI" w:eastAsia="Segoe UI" w:cs="Segoe UI"/>
      <w:color w:val="1F2933"/>
      <w:sz w:val="20"/>
    </w:rPr>
  </w:style>
  <w:style w:type="paragraph" w:styleId="SkvpNadpisObsahu">
    <w:name w:val="SkVP – nadpis obsahu"/>
    <w:basedOn w:val="Normal"/>
    <w:next w:val="Normal"/>
    <w:qFormat/>
    <w:pPr>
      <w:spacing w:before="0" w:after="280"/>
    </w:pPr>
    <w:rPr>
      <w:rFonts w:ascii="Segoe UI" w:hAnsi="Segoe UI" w:eastAsia="Segoe UI" w:cs="Segoe UI"/>
      <w:b/>
      <w:color w:val="1F2933"/>
      <w:sz w:val="48"/>
    </w:rPr>
  </w:style>
  <w:style w:type="paragraph" w:styleId="SkvpPodnadpisOblasti">
    <w:name w:val="SkVP – podnadpis oblasti"/>
    <w:basedOn w:val="Normal"/>
    <w:next w:val="Normal"/>
    <w:qFormat/>
    <w:pPr>
      <w:spacing w:before="0" w:after="440"/>
    </w:pPr>
    <w:rPr>
      <w:rFonts w:ascii="Segoe UI" w:hAnsi="Segoe UI" w:eastAsia="Segoe UI" w:cs="Segoe UI"/>
      <w:color w:val="6B7280"/>
      <w:sz w:val="20"/>
    </w:rPr>
  </w:style>
  <w:style w:type="paragraph" w:styleId="SkvpOblastMala">
    <w:name w:val="SkVP – oblasť nad predmetom"/>
    <w:basedOn w:val="Normal"/>
    <w:next w:val="Normal"/>
    <w:qFormat/>
    <w:pPr>
      <w:spacing w:before="0" w:after="40"/>
    </w:pPr>
    <w:rPr>
      <w:rFonts w:ascii="Segoe UI" w:hAnsi="Segoe UI" w:eastAsia="Segoe UI" w:cs="Segoe UI"/>
      <w:b/>
      <w:color w:val="1F2933"/>
      <w:sz w:val="19"/>
    </w:rPr>
  </w:style>
  <w:style w:type="paragraph" w:styleId="SkvpPoznamka">
    <w:name w:val="SkVP – poznámka"/>
    <w:basedOn w:val="Normal"/>
    <w:next w:val="Normal"/>
    <w:qFormat/>
    <w:pPr/>
    <w:rPr>
      <w:rFonts w:ascii="Constantia" w:hAnsi="Constantia" w:eastAsia="Constantia" w:cs="Constantia"/>
      <w:i/>
      <w:color w:val="6B7280"/>
      <w:sz w:val="22"/>
    </w:rPr>
  </w:style>
  <w:style w:type="paragraph" w:styleId="SkvpTabulka">
    <w:name w:val="SkVP – text v tabuľke"/>
    <w:basedOn w:val="Normal"/>
    <w:next w:val="Normal"/>
    <w:qFormat/>
    <w:pPr>
      <w:spacing w:before="0" w:after="40"/>
    </w:pPr>
    <w:rPr>
      <w:rFonts w:ascii="Constantia" w:hAnsi="Constantia" w:eastAsia="Constantia" w:cs="Constantia"/>
      <w:color w:val="1F2933"/>
      <w:sz w:val="20"/>
    </w:rPr>
  </w:style>
  <w:style w:type="paragraph" w:styleId="SkvpZoznamPredmetov">
    <w:name w:val="SkVP – predmet v zozname oblasti"/>
    <w:basedOn w:val="Normal"/>
    <w:next w:val="Normal"/>
    <w:qFormat/>
    <w:pPr>
      <w:tabs>
        <w:tab w:val="left" w:pos="851"/>
      </w:tabs>
      <w:spacing w:before="80" w:after="80"/>
    </w:pPr>
    <w:rPr>
      <w:rFonts w:ascii="Constantia" w:hAnsi="Constantia" w:eastAsia="Constantia" w:cs="Constantia"/>
      <w:color w:val="1F2933"/>
      <w:sz w:val="25"/>
    </w:rPr>
  </w:style>
  <w:style w:type="paragraph" w:styleId="SkvpOddelovacCislo">
    <w:name w:val="SkVP – číslo na oddeľujúcej strane"/>
    <w:basedOn w:val="Normal"/>
    <w:next w:val="Normal"/>
    <w:qFormat/>
    <w:pPr>
      <w:spacing w:before="3600" w:after="60"/>
    </w:pPr>
    <w:rPr>
      <w:rFonts w:ascii="Segoe UI" w:hAnsi="Segoe UI" w:eastAsia="Segoe UI" w:cs="Segoe UI"/>
      <w:b/>
      <w:color w:val="1F2933"/>
      <w:sz w:val="144"/>
    </w:rPr>
  </w:style>
  <w:style w:type="paragraph" w:styleId="SkvpOddelovacNazov">
    <w:name w:val="SkVP – predmet na oddeľujúcej strane"/>
    <w:basedOn w:val="Normal"/>
    <w:next w:val="Normal"/>
    <w:qFormat/>
    <w:pPr>
      <w:spacing w:before="0" w:after="200"/>
    </w:pPr>
    <w:rPr>
      <w:rFonts w:ascii="Segoe UI" w:hAnsi="Segoe UI" w:eastAsia="Segoe UI" w:cs="Segoe UI"/>
      <w:b/>
      <w:color w:val="1F2933"/>
      <w:sz w:val="60"/>
    </w:rPr>
  </w:style>
  <w:style w:type="paragraph" w:styleId="TOC1">
    <w:name w:val="toc 1"/>
    <w:basedOn w:val="Normal"/>
    <w:next w:val="Normal"/>
    <w:qFormat/>
    <w:pPr>
      <w:spacing w:before="180" w:after="40"/>
    </w:pPr>
    <w:rPr>
      <w:rFonts w:ascii="Segoe UI" w:hAnsi="Segoe UI" w:eastAsia="Segoe UI" w:cs="Segoe UI"/>
      <w:b/>
      <w:color w:val="1F2933"/>
      <w:sz w:val="21"/>
    </w:rPr>
  </w:style>
  <w:style w:type="paragraph" w:styleId="TOC2">
    <w:name w:val="toc 2"/>
    <w:basedOn w:val="Normal"/>
    <w:next w:val="Normal"/>
    <w:qFormat/>
    <w:pPr>
      <w:spacing w:after="30"/>
      <w:ind w:left="400"/>
    </w:pPr>
    <w:rPr>
      <w:rFonts w:ascii="Constantia" w:hAnsi="Constantia" w:eastAsia="Constantia" w:cs="Constantia"/>
      <w:color w:val="1F2933"/>
      <w:sz w:val="21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ebc96d03a0894d9e" /><Relationship Type="http://schemas.openxmlformats.org/officeDocument/2006/relationships/numbering" Target="/word/numbering.xml" Id="R0f77969159a4401a" /><Relationship Type="http://schemas.openxmlformats.org/officeDocument/2006/relationships/settings" Target="/word/settings.xml" Id="R360241ccb42e4722" /><Relationship Type="http://schemas.openxmlformats.org/officeDocument/2006/relationships/header" Target="/word/header1.xml" Id="Rfb664450d83b447f" /><Relationship Type="http://schemas.openxmlformats.org/officeDocument/2006/relationships/footer" Target="/word/footer1.xml" Id="Rd51d660053624c9e" /></Relationships>
</file>