
<file path=[Content_Types].xml><?xml version="1.0" encoding="utf-8"?>
<Types xmlns="http://schemas.openxmlformats.org/package/2006/content-types">
  <Default Extension="xml" ContentType="application/vnd.openxmlformats-officedocument.wordprocessingml.document.main+xml"/>
  <Default Extension="psmdcp" ContentType="application/vnd.openxmlformats-package.core-properties+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f56f3b1cbd6f4fbd" /><Relationship Type="http://schemas.openxmlformats.org/package/2006/relationships/metadata/core-properties" Target="/package/services/metadata/core-properties/0bf8104aa07143f2b58d953ce5be7471.psmdcp" Id="R317124b9ad3d4f87" /></Relationships>
</file>

<file path=word/document.xml><?xml version="1.0" encoding="utf-8"?>
<w:document xmlns:w="http://schemas.openxmlformats.org/wordprocessingml/2006/main">
  <w:body>
    <w:tbl>
      <w:tblPr>
        <w:tblW w:w="5000" w:type="pct"/>
        <w:tblBorders>
          <w:top w:val="none"/>
          <w:left w:val="none"/>
          <w:bottom w:val="none"/>
          <w:right w:val="none"/>
          <w:insideH w:val="none"/>
          <w:insideV w:val="none"/>
        </w:tblBorders>
        <w:tblLayout w:type="fixed"/>
      </w:tblPr>
      <w:tblGrid>
        <w:gridCol w:w="1328"/>
        <w:gridCol w:w="1328"/>
        <w:gridCol w:w="1328"/>
        <w:gridCol w:w="1328"/>
        <w:gridCol w:w="1328"/>
        <w:gridCol w:w="1328"/>
        <w:gridCol w:w="1328"/>
      </w:tblGrid>
      <w:tr>
        <w:trPr>
          <w:trHeight w:val="140" w:hRule="exact"/>
        </w:trPr>
        <w:tc>
          <w:tcPr>
            <w:shd w:val="clear" w:color="auto" w:fill="7B93DB"/>
          </w:tcPr>
          <w:p>
            <w:pPr>
              <w:spacing w:after="0" w:line="120" w:lineRule="exact"/>
            </w:pPr>
          </w:p>
        </w:tc>
        <w:tc>
          <w:tcPr>
            <w:shd w:val="clear" w:color="auto" w:fill="5DB5B0"/>
          </w:tcPr>
          <w:p>
            <w:pPr>
              <w:spacing w:after="0" w:line="120" w:lineRule="exact"/>
            </w:pPr>
          </w:p>
        </w:tc>
        <w:tc>
          <w:tcPr>
            <w:shd w:val="clear" w:color="auto" w:fill="7CBF8E"/>
          </w:tcPr>
          <w:p>
            <w:pPr>
              <w:spacing w:after="0" w:line="120" w:lineRule="exact"/>
            </w:pPr>
          </w:p>
        </w:tc>
        <w:tc>
          <w:tcPr>
            <w:shd w:val="clear" w:color="auto" w:fill="EDB06B"/>
          </w:tcPr>
          <w:p>
            <w:pPr>
              <w:spacing w:after="0" w:line="120" w:lineRule="exact"/>
            </w:pPr>
          </w:p>
        </w:tc>
        <w:tc>
          <w:tcPr>
            <w:shd w:val="clear" w:color="auto" w:fill="E58FA8"/>
          </w:tcPr>
          <w:p>
            <w:pPr>
              <w:spacing w:after="0" w:line="120" w:lineRule="exact"/>
            </w:pPr>
          </w:p>
        </w:tc>
        <w:tc>
          <w:tcPr>
            <w:shd w:val="clear" w:color="auto" w:fill="A592E0"/>
          </w:tcPr>
          <w:p>
            <w:pPr>
              <w:spacing w:after="0" w:line="120" w:lineRule="exact"/>
            </w:pPr>
          </w:p>
        </w:tc>
        <w:tc>
          <w:tcPr>
            <w:shd w:val="clear" w:color="auto" w:fill="EE9A7A"/>
          </w:tcPr>
          <w:p>
            <w:pPr>
              <w:spacing w:after="0" w:line="120" w:lineRule="exact"/>
            </w:pPr>
          </w:p>
        </w:tc>
      </w:tr>
    </w:tbl>
    <w:p>
      <w:pPr>
        <w:pStyle w:val="SkvpSkola"/>
      </w:pPr>
      <w:r>
        <w:t xml:space="preserve">Spojená škola Vzorová</w:t>
      </w:r>
    </w:p>
    <w:p>
      <w:pPr>
        <w:pStyle w:val="SkvpAdresa"/>
      </w:pPr>
      <w:r>
        <w:t xml:space="preserve">Gymnázium</w:t>
      </w:r>
    </w:p>
    <w:p>
      <w:pPr>
        <w:pStyle w:val="SkvpAdresa"/>
      </w:pPr>
      <w:r>
        <w:t xml:space="preserve">Vzorová 1, 999 99 Vzorovo, Česko</w:t>
      </w:r>
    </w:p>
    <w:p>
      <w:pPr>
        <w:pStyle w:val="SkvpAdresa"/>
      </w:pPr>
      <w:r>
        <w:t xml:space="preserve">IČO: 12345678  •  DIČ: 2020999999</w:t>
      </w:r>
    </w:p>
    <w:p>
      <w:pPr>
        <w:pStyle w:val="SkvpAdresa"/>
      </w:pPr>
      <w:r>
        <w:t xml:space="preserve">e-mail: skola@vzor.example  •  tel.: +421 900 111 222</w:t>
      </w:r>
    </w:p>
    <w:p>
      <w:pPr>
        <w:pStyle w:val="Title"/>
        <w:spacing w:before="1985"/>
      </w:pPr>
      <w:r>
        <w:t xml:space="preserve">Školský vzdelávací program</w:t>
      </w:r>
    </w:p>
    <w:p>
      <w:pPr>
        <w:pStyle w:val="Subtitle"/>
      </w:pPr>
      <w:r>
        <w:t xml:space="preserve">Učebné osnovy</w:t>
      </w:r>
    </w:p>
    <w:p>
      <w:pPr>
        <w:pStyle w:val="SkvpTitulUdaj"/>
      </w:pPr>
      <w:r>
        <w:t xml:space="preserve">Gymnázium – úplné stredné všeobecné vzdelanie (ISCED 344)</w:t>
      </w:r>
    </w:p>
    <w:p>
      <w:pPr>
        <w:pStyle w:val="SkvpTitulOblast"/>
        <w:spacing w:before="850" w:after="40"/>
      </w:pPr>
      <w:r>
        <w:rPr>
          <w:color w:val="7B93DB"/>
        </w:rPr>
        <w:t xml:space="preserve">■   </w:t>
      </w:r>
      <w:r>
        <w:t xml:space="preserve">Jazyk a komunikácia   </w:t>
      </w:r>
      <w:r>
        <w:rPr>
          <w:color w:val="6B7280"/>
        </w:rPr>
        <w:t xml:space="preserve">9 predmetov</w:t>
      </w:r>
    </w:p>
    <w:p>
      <w:pPr>
        <w:pStyle w:val="SkvpTitulOblast"/>
      </w:pPr>
      <w:r>
        <w:rPr>
          <w:color w:val="5DB5B0"/>
        </w:rPr>
        <w:t xml:space="preserve">■   </w:t>
      </w:r>
      <w:r>
        <w:t xml:space="preserve">Matematika a práca s informáciami   </w:t>
      </w:r>
      <w:r>
        <w:rPr>
          <w:color w:val="6B7280"/>
        </w:rPr>
        <w:t xml:space="preserve">8 predmetov</w:t>
      </w:r>
    </w:p>
    <w:p>
      <w:pPr>
        <w:pStyle w:val="SkvpTitulOblast"/>
      </w:pPr>
      <w:r>
        <w:rPr>
          <w:color w:val="7CBF8E"/>
        </w:rPr>
        <w:t xml:space="preserve">■   </w:t>
      </w:r>
      <w:r>
        <w:t xml:space="preserve">Človek a príroda   </w:t>
      </w:r>
      <w:r>
        <w:rPr>
          <w:color w:val="6B7280"/>
        </w:rPr>
        <w:t xml:space="preserve">10 predmetov</w:t>
      </w:r>
    </w:p>
    <w:p>
      <w:pPr>
        <w:pStyle w:val="SkvpTitulOblast"/>
      </w:pPr>
      <w:r>
        <w:rPr>
          <w:color w:val="EDB06B"/>
        </w:rPr>
        <w:t xml:space="preserve">■   </w:t>
      </w:r>
      <w:r>
        <w:t xml:space="preserve">Človek a spoločnosť   </w:t>
      </w:r>
      <w:r>
        <w:rPr>
          <w:color w:val="6B7280"/>
        </w:rPr>
        <w:t xml:space="preserve">9 predmetov</w:t>
      </w:r>
    </w:p>
    <w:p>
      <w:pPr>
        <w:pStyle w:val="SkvpTitulOblast"/>
      </w:pPr>
      <w:r>
        <w:rPr>
          <w:color w:val="E58FA8"/>
        </w:rPr>
        <w:t xml:space="preserve">■   </w:t>
      </w:r>
      <w:r>
        <w:t xml:space="preserve">Umenie a kultúra   </w:t>
      </w:r>
      <w:r>
        <w:rPr>
          <w:color w:val="6B7280"/>
        </w:rPr>
        <w:t xml:space="preserve">1 predmet</w:t>
      </w:r>
    </w:p>
    <w:p>
      <w:pPr>
        <w:pStyle w:val="SkvpTitulOblast"/>
      </w:pPr>
      <w:r>
        <w:rPr>
          <w:color w:val="A592E0"/>
        </w:rPr>
        <w:t xml:space="preserve">■   </w:t>
      </w:r>
      <w:r>
        <w:t xml:space="preserve">Človek a hodnoty   </w:t>
      </w:r>
      <w:r>
        <w:rPr>
          <w:color w:val="6B7280"/>
        </w:rPr>
        <w:t xml:space="preserve">2 predmety</w:t>
      </w:r>
    </w:p>
    <w:p>
      <w:pPr>
        <w:pStyle w:val="SkvpTitulOblast"/>
      </w:pPr>
      <w:r>
        <w:rPr>
          <w:color w:val="EE9A7A"/>
        </w:rPr>
        <w:t xml:space="preserve">■   </w:t>
      </w:r>
      <w:r>
        <w:t xml:space="preserve">Zdravie a pohyb   </w:t>
      </w:r>
      <w:r>
        <w:rPr>
          <w:color w:val="6B7280"/>
        </w:rPr>
        <w:t xml:space="preserve">4 predmety</w:t>
      </w:r>
    </w:p>
    <w:p>
      <w:pPr>
        <w:pStyle w:val="SkvpAdresa"/>
        <w:spacing w:before="680"/>
      </w:pPr>
      <w:r>
        <w:t xml:space="preserve">Vytvorené 24. 10. 2026 v programe SkVP</w:t>
      </w:r>
    </w:p>
    <w:p>
      <w:r>
        <w:br w:type="page"/>
      </w:r>
    </w:p>
    <w:p>
      <w:pPr>
        <w:pStyle w:val="Heading1"/>
        <w:pageBreakBefore/>
        <w:pBdr>
          <w:left w:val="single" w:color="7B93DB" w:sz="48" w:space="12"/>
        </w:pBdr>
        <w:ind w:left="360"/>
      </w:pPr>
      <w:r>
        <w:rPr>
          <w:color w:val="7B93DB"/>
        </w:rPr>
        <w:t xml:space="preserve">Jazyk a komunikácia</w:t>
      </w:r>
    </w:p>
    <w:p>
      <w:pPr>
        <w:pStyle w:val="SkvpPodnadpisOblasti"/>
        <w:ind w:left="360"/>
      </w:pPr>
      <w:r>
        <w:t xml:space="preserve">Vzdelávacia oblasť  •  9 predmetov</w:t>
      </w:r>
    </w:p>
    <w:p>
      <w:pPr>
        <w:pStyle w:val="SkvpZoznamPredmetov"/>
        <w:pBdr>
          <w:bottom w:val="single" w:color="CBD2D9" w:sz="4" w:space="4"/>
        </w:pBdr>
      </w:pPr>
      <w:r>
        <w:rPr>
          <w:b/>
          <w:color w:val="7B93DB"/>
        </w:rPr>
        <w:t xml:space="preserve">01</w:t>
      </w:r>
      <w:r>
        <w:tab/>
      </w:r>
      <w:r>
        <w:t xml:space="preserve">Slovenský jazyk a literatúra</w:t>
      </w:r>
    </w:p>
    <w:p>
      <w:pPr>
        <w:pStyle w:val="SkvpZoznamPredmetov"/>
        <w:pBdr>
          <w:bottom w:val="single" w:color="CBD2D9" w:sz="4" w:space="4"/>
        </w:pBdr>
      </w:pPr>
      <w:r>
        <w:rPr>
          <w:b/>
          <w:color w:val="7B93DB"/>
        </w:rPr>
        <w:t xml:space="preserve">02</w:t>
      </w:r>
      <w:r>
        <w:tab/>
      </w:r>
      <w:r>
        <w:t xml:space="preserve">Anglický jazyk</w:t>
      </w:r>
    </w:p>
    <w:p>
      <w:pPr>
        <w:pStyle w:val="SkvpZoznamPredmetov"/>
        <w:pBdr>
          <w:bottom w:val="single" w:color="CBD2D9" w:sz="4" w:space="4"/>
        </w:pBdr>
      </w:pPr>
      <w:r>
        <w:rPr>
          <w:b/>
          <w:color w:val="7B93DB"/>
        </w:rPr>
        <w:t xml:space="preserve">03</w:t>
      </w:r>
      <w:r>
        <w:tab/>
      </w:r>
      <w:r>
        <w:t xml:space="preserve">Nemecký jazyk</w:t>
      </w:r>
    </w:p>
    <w:p>
      <w:pPr>
        <w:pStyle w:val="SkvpZoznamPredmetov"/>
        <w:pBdr>
          <w:bottom w:val="single" w:color="CBD2D9" w:sz="4" w:space="4"/>
        </w:pBdr>
      </w:pPr>
      <w:r>
        <w:rPr>
          <w:b/>
          <w:color w:val="7B93DB"/>
        </w:rPr>
        <w:t xml:space="preserve">04</w:t>
      </w:r>
      <w:r>
        <w:tab/>
      </w:r>
      <w:r>
        <w:t xml:space="preserve">Ruský jazyk</w:t>
      </w:r>
    </w:p>
    <w:p>
      <w:pPr>
        <w:pStyle w:val="SkvpZoznamPredmetov"/>
        <w:pBdr>
          <w:bottom w:val="single" w:color="CBD2D9" w:sz="4" w:space="4"/>
        </w:pBdr>
      </w:pPr>
      <w:r>
        <w:rPr>
          <w:b/>
          <w:color w:val="7B93DB"/>
        </w:rPr>
        <w:t xml:space="preserve">05</w:t>
      </w:r>
      <w:r>
        <w:tab/>
      </w:r>
      <w:r>
        <w:t xml:space="preserve">Seminár zo slovenského jazyka a literatúry</w:t>
      </w:r>
    </w:p>
    <w:p>
      <w:pPr>
        <w:pStyle w:val="SkvpZoznamPredmetov"/>
        <w:pBdr>
          <w:bottom w:val="single" w:color="CBD2D9" w:sz="4" w:space="4"/>
        </w:pBdr>
      </w:pPr>
      <w:r>
        <w:rPr>
          <w:b/>
          <w:color w:val="7B93DB"/>
        </w:rPr>
        <w:t xml:space="preserve">06</w:t>
      </w:r>
      <w:r>
        <w:tab/>
      </w:r>
      <w:r>
        <w:t xml:space="preserve">Konverzácia v anglickom jazyku</w:t>
      </w:r>
    </w:p>
    <w:p>
      <w:pPr>
        <w:pStyle w:val="SkvpZoznamPredmetov"/>
        <w:pBdr>
          <w:bottom w:val="single" w:color="CBD2D9" w:sz="4" w:space="4"/>
        </w:pBdr>
      </w:pPr>
      <w:r>
        <w:rPr>
          <w:b/>
          <w:color w:val="7B93DB"/>
        </w:rPr>
        <w:t xml:space="preserve">07</w:t>
      </w:r>
      <w:r>
        <w:tab/>
      </w:r>
      <w:r>
        <w:t xml:space="preserve">Konverzácia v nemeckom jazyku</w:t>
      </w:r>
    </w:p>
    <w:p>
      <w:pPr>
        <w:pStyle w:val="SkvpZoznamPredmetov"/>
        <w:pBdr>
          <w:bottom w:val="single" w:color="CBD2D9" w:sz="4" w:space="4"/>
        </w:pBdr>
      </w:pPr>
      <w:r>
        <w:rPr>
          <w:b/>
          <w:color w:val="7B93DB"/>
        </w:rPr>
        <w:t xml:space="preserve">08</w:t>
      </w:r>
      <w:r>
        <w:tab/>
      </w:r>
      <w:r>
        <w:t xml:space="preserve">Reálie v anglickom jazyku</w:t>
      </w:r>
    </w:p>
    <w:p>
      <w:pPr>
        <w:pStyle w:val="SkvpZoznamPredmetov"/>
        <w:pBdr>
          <w:bottom w:val="single" w:color="CBD2D9" w:sz="4" w:space="4"/>
        </w:pBdr>
      </w:pPr>
      <w:r>
        <w:rPr>
          <w:b/>
          <w:color w:val="7B93DB"/>
        </w:rPr>
        <w:t xml:space="preserve">09</w:t>
      </w:r>
      <w:r>
        <w:tab/>
      </w:r>
      <w:r>
        <w:t xml:space="preserve">Jazykom k maturite</w:t>
      </w:r>
    </w:p>
    <w:p>
      <w:pPr>
        <w:pStyle w:val="Heading3"/>
        <w:pageBreakBefore/>
      </w:pPr>
      <w:r>
        <w:rPr>
          <w:color w:val="7B93DB"/>
        </w:rPr>
        <w:t xml:space="preserve">Charakteristika vzdelávacej oblasti</w:t>
      </w:r>
    </w:p>
    <w:p>
      <w:pPr/>
      <w:r>
        <w:t xml:space="preserve">Vzdelávaciu oblasť Jazyk a komunikácia tvoria vyučovacie predmety zahrnuté do troch skupín: vyučovacie jazyky¹, druhý jazyk², cudzie jazyky a druhý vyučovací jazyk v bilingválnom štúdiu. Spoločným menovateľom oblasti je jazyk, ktorý sa chápe ako potenciálny zdroj osobného a kultúrneho obohatenia človeka, nástroj myslenia a komunikácie a prostriedok na vyjadrovanie citov a pocitov. Vzdelávanie preto vedie k vnímaniu a postupnému osvojovaniu si jazyka ako bohatého mnohotvárneho prostriedku na získavanie a odovzdávanie informácií, k zvyšovaniu jazykovej kultúry ústnych i písomných jazykových prejavov žiakov a k rozvíjaniu čitateľských kompetencií zameraných na prácu s textom (čítanie s porozumením, deklamácia, počúvanie s porozumením), na jeho analýzu a hodnotenie.</w:t>
      </w:r>
    </w:p>
    <w:p>
      <w:pPr/>
      <w:r>
        <w:t xml:space="preserve">Špecifickou zložkou oblasti je literatúra, ktorá spája vyučovacie predmety zahrnuté v skupinách vyučovacie jazyky a druhý jazyk. Jej základom sa stáva postupné rozvíjanie analytického čítania a rozvoj schopnosti pracovať s významom literárneho textu na vyššej individuálnej úrovni.</w:t>
      </w:r>
    </w:p>
    <w:p>
      <w:pPr/>
      <w:r>
        <w:rPr>
          <w:i/>
        </w:rPr>
        <w:t xml:space="preserve">¹ Vyučovacie jazyky: slovenský jazyk a literatúra v školách s vyučovacím jazykom slovenským, jazyk národnostnej menšiny a literatúra v školách s vyučovacím jazykom národnostnej menšiny.</w:t>
      </w:r>
    </w:p>
    <w:p>
      <w:pPr/>
      <w:r>
        <w:rPr>
          <w:i/>
        </w:rPr>
        <w:t xml:space="preserve">² Druhý jazyk: slovenský jazyk a literatúra v školách s vyučovacím jazykom národnostnej menšiny okrem maďarskej národnostnej menšiny, slovenský jazyk a slovenská literatúra v školách s vyučovacím jazykom maďarským, jazyk národnostnej menšiny a literatúra v školách s vyučovacím jazykom národnostnej menšiny.</w:t>
      </w:r>
    </w:p>
    <w:p>
      <w:pPr/>
      <w:r>
        <w:rPr>
          <w:i/>
        </w:rPr>
        <w:t xml:space="preserve">Zdroj: Štátny vzdelávací program pre gymnáziá (úplné stredné všeobecné vzdelávanie), kapitola 4.1 Jazyk a komunikácia. Štátny pedagogický ústav, schválilo MŠVVaŠ SR 20. 3. 2015 pod č. 2015-7846/10840:1-10B0, v znení dodatkov č. 1 – 5.</w:t>
      </w:r>
    </w:p>
    <w:p>
      <w:pPr>
        <w:pStyle w:val="SkvpOblastMala"/>
        <w:pageBreakBefore/>
      </w:pPr>
      <w:r>
        <w:rPr>
          <w:color w:val="7B93DB"/>
        </w:rPr>
        <w:t xml:space="preserve">Jazyk a komunikácia  •  01</w:t>
      </w:r>
    </w:p>
    <w:p>
      <w:pPr>
        <w:pStyle w:val="Heading2"/>
        <w:pBdr>
          <w:bottom w:val="single" w:color="7B93DB" w:sz="12" w:space="6"/>
        </w:pBdr>
      </w:pPr>
      <w:r>
        <w:t xml:space="preserve">Slovenský jazyk a literatúra</w:t>
      </w:r>
    </w:p>
    <w:p>
      <w:pPr>
        <w:pStyle w:val="Heading3"/>
      </w:pPr>
      <w:r>
        <w:rPr>
          <w:color w:val="7B93DB"/>
        </w:rPr>
        <w:t xml:space="preserve">Charakteristika predmetu</w:t>
      </w:r>
    </w:p>
    <w:p>
      <w:pPr/>
      <w:r>
        <w:t xml:space="preserve">Predmet rozvíja </w:t>
      </w:r>
      <w:r>
        <w:rPr>
          <w:b/>
        </w:rPr>
        <w:t xml:space="preserve">komunikačné</w:t>
      </w:r>
      <w:r>
        <w:t xml:space="preserve"> a </w:t>
      </w:r>
      <w:r>
        <w:rPr>
          <w:i/>
        </w:rPr>
        <w:t xml:space="preserve">čitateľské</w:t>
      </w:r>
      <w:r>
        <w:t xml:space="preserve"> kompetencie žiakov – </w:t>
      </w:r>
      <w:r>
        <w:rPr>
          <w:u w:val="single"/>
        </w:rPr>
        <w:t xml:space="preserve">ľščťžýáíéúäôň</w:t>
      </w:r>
      <w:r>
        <w:t xml:space="preserve">.</w:t>
      </w:r>
      <w:r>
        <w:br/>
      </w:r>
      <w:r>
        <w:t xml:space="preserve">Druhý riadok odseku.</w:t>
      </w:r>
    </w:p>
    <w:p>
      <w:pPr>
        <w:pStyle w:val="Heading4"/>
      </w:pPr>
      <w:r>
        <w:t xml:space="preserve">Ciele predmetu</w:t>
      </w:r>
    </w:p>
    <w:p>
      <w:pPr>
        <w:pStyle w:val="ListParagraph"/>
        <w:numPr>
          <w:ilvl w:val="0"/>
          <w:numId w:val="10"/>
        </w:numPr>
      </w:pPr>
      <w:r>
        <w:t xml:space="preserve">rozvíjať slovnú zásobu</w:t>
      </w:r>
    </w:p>
    <w:p>
      <w:pPr>
        <w:pStyle w:val="ListParagraph"/>
        <w:numPr>
          <w:ilvl w:val="0"/>
          <w:numId w:val="10"/>
        </w:numPr>
      </w:pPr>
      <w:r>
        <w:t xml:space="preserve">čítať s porozumením</w:t>
      </w:r>
    </w:p>
    <w:p>
      <w:pPr>
        <w:pStyle w:val="ListParagraph"/>
        <w:numPr>
          <w:ilvl w:val="1"/>
          <w:numId w:val="11"/>
        </w:numPr>
      </w:pPr>
      <w:r>
        <w:t xml:space="preserve">umelecké texty</w:t>
      </w:r>
    </w:p>
    <w:p>
      <w:pPr>
        <w:pStyle w:val="ListParagraph"/>
        <w:numPr>
          <w:ilvl w:val="1"/>
          <w:numId w:val="11"/>
        </w:numPr>
      </w:pPr>
      <w:r>
        <w:t xml:space="preserve">odborné texty</w:t>
      </w:r>
    </w:p>
    <w:p>
      <w:pPr>
        <w:pStyle w:val="ListParagraph"/>
        <w:numPr>
          <w:ilvl w:val="0"/>
          <w:numId w:val="10"/>
        </w:numPr>
      </w:pPr>
      <w:r>
        <w:t xml:space="preserve">písať jasne a výstižne</w:t>
      </w:r>
    </w:p>
    <w:p>
      <w:pPr>
        <w:pStyle w:val="Heading3"/>
      </w:pPr>
      <w:r>
        <w:rPr>
          <w:color w:val="7B93DB"/>
        </w:rPr>
        <w:t xml:space="preserve">Obsahový a výkonový štandard</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066"/>
        <w:gridCol w:w="3099"/>
        <w:gridCol w:w="4132"/>
      </w:tblGrid>
      <w:tr>
        <w:trPr>
          <w:tblHeader/>
        </w:trPr>
        <w:tc>
          <w:tcPr>
            <w:tcW w:w="2066" w:type="dxa"/>
            <w:shd w:val="clear" w:color="auto" w:fill="F3F4F6"/>
          </w:tcPr>
          <w:p>
            <w:pPr>
              <w:pStyle w:val="SkvpTabulka"/>
            </w:pPr>
            <w:r>
              <w:rPr>
                <w:b/>
              </w:rPr>
              <w:t xml:space="preserve">Tematický celok</w:t>
            </w:r>
          </w:p>
        </w:tc>
        <w:tc>
          <w:tcPr>
            <w:tcW w:w="3099" w:type="dxa"/>
            <w:shd w:val="clear" w:color="auto" w:fill="F3F4F6"/>
          </w:tcPr>
          <w:p>
            <w:pPr>
              <w:pStyle w:val="SkvpTabulka"/>
            </w:pPr>
            <w:r>
              <w:rPr>
                <w:b/>
              </w:rPr>
              <w:t xml:space="preserve">Obsahový štandard</w:t>
            </w:r>
          </w:p>
        </w:tc>
        <w:tc>
          <w:tcPr>
            <w:tcW w:w="4132" w:type="dxa"/>
            <w:shd w:val="clear" w:color="auto" w:fill="F3F4F6"/>
          </w:tcPr>
          <w:p>
            <w:pPr>
              <w:pStyle w:val="SkvpTabulka"/>
            </w:pPr>
            <w:r>
              <w:rPr>
                <w:b/>
              </w:rPr>
              <w:t xml:space="preserve">Výkonový štandard</w:t>
            </w:r>
          </w:p>
        </w:tc>
      </w:tr>
      <w:tr>
        <w:tc>
          <w:tcPr>
            <w:tcW w:w="2066" w:type="dxa"/>
            <w:vMerge w:val="restart"/>
          </w:tcPr>
          <w:p>
            <w:pPr>
              <w:pStyle w:val="SkvpTabulka"/>
            </w:pPr>
            <w:r>
              <w:t xml:space="preserve">Jazyk a reč</w:t>
            </w:r>
          </w:p>
        </w:tc>
        <w:tc>
          <w:tcPr>
            <w:tcW w:w="3099" w:type="dxa"/>
          </w:tcPr>
          <w:p>
            <w:pPr>
              <w:pStyle w:val="SkvpTabulka"/>
            </w:pPr>
            <w:r>
              <w:t xml:space="preserve">jazykový systém</w:t>
            </w:r>
          </w:p>
        </w:tc>
        <w:tc>
          <w:tcPr>
            <w:tcW w:w="4132" w:type="dxa"/>
          </w:tcPr>
          <w:p>
            <w:pPr>
              <w:pStyle w:val="SkvpTabulka"/>
            </w:pPr>
            <w:r>
              <w:t xml:space="preserve">Žiak vie vysvetliť pojem jazyk.</w:t>
            </w:r>
          </w:p>
        </w:tc>
      </w:tr>
      <w:tr>
        <w:tc>
          <w:tcPr>
            <w:tcW w:w="2066" w:type="dxa"/>
            <w:vMerge w:val="continue"/>
          </w:tcPr>
          <w:p>
            <w:pPr>
              <w:pStyle w:val="SkvpTabulka"/>
            </w:pPr>
          </w:p>
        </w:tc>
        <w:tc>
          <w:tcPr>
            <w:tcW w:w="7231" w:type="dxa"/>
            <w:gridSpan w:val="2"/>
          </w:tcPr>
          <w:p>
            <w:pPr>
              <w:pStyle w:val="SkvpTabulka"/>
            </w:pPr>
            <w:r>
              <w:t xml:space="preserve">spisovný jazyk a nárečia</w:t>
            </w:r>
          </w:p>
        </w:tc>
      </w:tr>
    </w:tbl>
    <w:p>
      <w:pPr>
        <w:spacing w:after="60"/>
      </w:pPr>
    </w:p>
    <w:p>
      <w:pPr>
        <w:pStyle w:val="Heading5"/>
      </w:pPr>
      <w:r>
        <w:t xml:space="preserve">Poznámka</w:t>
      </w:r>
    </w:p>
    <w:p>
      <w:pPr>
        <w:ind w:left="340"/>
        <w:jc w:val="both"/>
      </w:pPr>
      <w:r>
        <w:t xml:space="preserve">Text zarovnaný do bloku.</w:t>
      </w:r>
    </w:p>
    <w:p>
      <w:pPr>
        <w:pStyle w:val="SkvpOblastMala"/>
        <w:pageBreakBefore/>
      </w:pPr>
      <w:r>
        <w:rPr>
          <w:color w:val="7B93DB"/>
        </w:rPr>
        <w:t xml:space="preserve">Jazyk a komunikácia  •  02</w:t>
      </w:r>
    </w:p>
    <w:p>
      <w:pPr>
        <w:pStyle w:val="Heading2"/>
        <w:pBdr>
          <w:bottom w:val="single" w:color="7B93DB" w:sz="12" w:space="6"/>
        </w:pBdr>
      </w:pPr>
      <w:r>
        <w:t xml:space="preserve">Anglický jazyk</w:t>
      </w:r>
    </w:p>
    <w:p>
      <w:pPr>
        <w:pStyle w:val="Heading3"/>
      </w:pPr>
      <w:r>
        <w:rPr>
          <w:color w:val="7B93DB"/>
        </w:rPr>
        <w:t xml:space="preserve">Charakteristika predmetu</w:t>
      </w:r>
    </w:p>
    <w:p>
      <w:pPr/>
      <w:r>
        <w:t xml:space="preserve">Predmet rozvíja </w:t>
      </w:r>
      <w:r>
        <w:rPr>
          <w:b/>
        </w:rPr>
        <w:t xml:space="preserve">komunikačné</w:t>
      </w:r>
      <w:r>
        <w:t xml:space="preserve"> a </w:t>
      </w:r>
      <w:r>
        <w:rPr>
          <w:i/>
        </w:rPr>
        <w:t xml:space="preserve">čitateľské</w:t>
      </w:r>
      <w:r>
        <w:t xml:space="preserve"> kompetencie žiakov – </w:t>
      </w:r>
      <w:r>
        <w:rPr>
          <w:u w:val="single"/>
        </w:rPr>
        <w:t xml:space="preserve">ľščťžýáíéúäôň</w:t>
      </w:r>
      <w:r>
        <w:t xml:space="preserve">.</w:t>
      </w:r>
      <w:r>
        <w:br/>
      </w:r>
      <w:r>
        <w:t xml:space="preserve">Druhý riadok odseku.</w:t>
      </w:r>
    </w:p>
    <w:p>
      <w:pPr>
        <w:pStyle w:val="Heading4"/>
      </w:pPr>
      <w:r>
        <w:t xml:space="preserve">Ciele predmetu</w:t>
      </w:r>
    </w:p>
    <w:p>
      <w:pPr>
        <w:pStyle w:val="ListParagraph"/>
        <w:numPr>
          <w:ilvl w:val="0"/>
          <w:numId w:val="12"/>
        </w:numPr>
      </w:pPr>
      <w:r>
        <w:t xml:space="preserve">rozvíjať slovnú zásobu</w:t>
      </w:r>
    </w:p>
    <w:p>
      <w:pPr>
        <w:pStyle w:val="ListParagraph"/>
        <w:numPr>
          <w:ilvl w:val="0"/>
          <w:numId w:val="12"/>
        </w:numPr>
      </w:pPr>
      <w:r>
        <w:t xml:space="preserve">čítať s porozumením</w:t>
      </w:r>
    </w:p>
    <w:p>
      <w:pPr>
        <w:pStyle w:val="ListParagraph"/>
        <w:numPr>
          <w:ilvl w:val="1"/>
          <w:numId w:val="13"/>
        </w:numPr>
      </w:pPr>
      <w:r>
        <w:t xml:space="preserve">umelecké texty</w:t>
      </w:r>
    </w:p>
    <w:p>
      <w:pPr>
        <w:pStyle w:val="ListParagraph"/>
        <w:numPr>
          <w:ilvl w:val="1"/>
          <w:numId w:val="13"/>
        </w:numPr>
      </w:pPr>
      <w:r>
        <w:t xml:space="preserve">odborné texty</w:t>
      </w:r>
    </w:p>
    <w:p>
      <w:pPr>
        <w:pStyle w:val="ListParagraph"/>
        <w:numPr>
          <w:ilvl w:val="0"/>
          <w:numId w:val="12"/>
        </w:numPr>
      </w:pPr>
      <w:r>
        <w:t xml:space="preserve">písať jasne a výstižne</w:t>
      </w:r>
    </w:p>
    <w:p>
      <w:pPr>
        <w:pStyle w:val="SkvpOblastMala"/>
        <w:pageBreakBefore/>
      </w:pPr>
      <w:r>
        <w:rPr>
          <w:color w:val="7B93DB"/>
        </w:rPr>
        <w:t xml:space="preserve">Jazyk a komunikácia  •  03</w:t>
      </w:r>
    </w:p>
    <w:p>
      <w:pPr>
        <w:pStyle w:val="Heading2"/>
        <w:pBdr>
          <w:bottom w:val="single" w:color="7B93DB" w:sz="12" w:space="6"/>
        </w:pBdr>
      </w:pPr>
      <w:r>
        <w:t xml:space="preserve">Nemecký jazyk</w:t>
      </w:r>
    </w:p>
    <w:p>
      <w:pPr>
        <w:pStyle w:val="SkvpPoznamka"/>
      </w:pPr>
      <w:r>
        <w:t xml:space="preserve">Učebná osnova predmetu zatiaľ nie je spracovaná.</w:t>
      </w:r>
    </w:p>
    <w:p>
      <w:pPr>
        <w:pStyle w:val="SkvpOblastMala"/>
        <w:pageBreakBefore/>
      </w:pPr>
      <w:r>
        <w:rPr>
          <w:color w:val="7B93DB"/>
        </w:rPr>
        <w:t xml:space="preserve">Jazyk a komunikácia  •  04</w:t>
      </w:r>
    </w:p>
    <w:p>
      <w:pPr>
        <w:pStyle w:val="Heading2"/>
        <w:pBdr>
          <w:bottom w:val="single" w:color="7B93DB" w:sz="12" w:space="6"/>
        </w:pBdr>
      </w:pPr>
      <w:r>
        <w:t xml:space="preserve">Ruský jazyk</w:t>
      </w:r>
    </w:p>
    <w:p>
      <w:pPr>
        <w:pStyle w:val="SkvpPoznamka"/>
      </w:pPr>
      <w:r>
        <w:t xml:space="preserve">Učebná osnova predmetu zatiaľ nie je spracovaná.</w:t>
      </w:r>
    </w:p>
    <w:p>
      <w:pPr>
        <w:pStyle w:val="SkvpOblastMala"/>
        <w:pageBreakBefore/>
      </w:pPr>
      <w:r>
        <w:rPr>
          <w:color w:val="7B93DB"/>
        </w:rPr>
        <w:t xml:space="preserve">Jazyk a komunikácia  •  05</w:t>
      </w:r>
    </w:p>
    <w:p>
      <w:pPr>
        <w:pStyle w:val="Heading2"/>
        <w:pBdr>
          <w:bottom w:val="single" w:color="7B93DB" w:sz="12" w:space="6"/>
        </w:pBdr>
      </w:pPr>
      <w:r>
        <w:t xml:space="preserve">Seminár zo slovenského jazyka a literatúry</w:t>
      </w:r>
    </w:p>
    <w:p>
      <w:pPr>
        <w:pStyle w:val="SkvpPoznamka"/>
      </w:pPr>
      <w:r>
        <w:t xml:space="preserve">Učebná osnova predmetu zatiaľ nie je spracovaná.</w:t>
      </w:r>
    </w:p>
    <w:p>
      <w:pPr>
        <w:pStyle w:val="SkvpOblastMala"/>
        <w:pageBreakBefore/>
      </w:pPr>
      <w:r>
        <w:rPr>
          <w:color w:val="7B93DB"/>
        </w:rPr>
        <w:t xml:space="preserve">Jazyk a komunikácia  •  06</w:t>
      </w:r>
    </w:p>
    <w:p>
      <w:pPr>
        <w:pStyle w:val="Heading2"/>
        <w:pBdr>
          <w:bottom w:val="single" w:color="7B93DB" w:sz="12" w:space="6"/>
        </w:pBdr>
      </w:pPr>
      <w:r>
        <w:t xml:space="preserve">Konverzácia v anglickom jazyku</w:t>
      </w:r>
    </w:p>
    <w:p>
      <w:pPr>
        <w:pStyle w:val="SkvpPoznamka"/>
      </w:pPr>
      <w:r>
        <w:t xml:space="preserve">Učebná osnova predmetu zatiaľ nie je spracovaná.</w:t>
      </w:r>
    </w:p>
    <w:p>
      <w:pPr>
        <w:pStyle w:val="SkvpOblastMala"/>
        <w:pageBreakBefore/>
      </w:pPr>
      <w:r>
        <w:rPr>
          <w:color w:val="7B93DB"/>
        </w:rPr>
        <w:t xml:space="preserve">Jazyk a komunikácia  •  07</w:t>
      </w:r>
    </w:p>
    <w:p>
      <w:pPr>
        <w:pStyle w:val="Heading2"/>
        <w:pBdr>
          <w:bottom w:val="single" w:color="7B93DB" w:sz="12" w:space="6"/>
        </w:pBdr>
      </w:pPr>
      <w:r>
        <w:t xml:space="preserve">Konverzácia v nemeckom jazyku</w:t>
      </w:r>
    </w:p>
    <w:p>
      <w:pPr>
        <w:pStyle w:val="SkvpPoznamka"/>
      </w:pPr>
      <w:r>
        <w:t xml:space="preserve">Učebná osnova predmetu zatiaľ nie je spracovaná.</w:t>
      </w:r>
    </w:p>
    <w:p>
      <w:pPr>
        <w:pStyle w:val="SkvpOblastMala"/>
        <w:pageBreakBefore/>
      </w:pPr>
      <w:r>
        <w:rPr>
          <w:color w:val="7B93DB"/>
        </w:rPr>
        <w:t xml:space="preserve">Jazyk a komunikácia  •  08</w:t>
      </w:r>
    </w:p>
    <w:p>
      <w:pPr>
        <w:pStyle w:val="Heading2"/>
        <w:pBdr>
          <w:bottom w:val="single" w:color="7B93DB" w:sz="12" w:space="6"/>
        </w:pBdr>
      </w:pPr>
      <w:r>
        <w:t xml:space="preserve">Reálie v anglickom jazyku</w:t>
      </w:r>
    </w:p>
    <w:p>
      <w:pPr>
        <w:pStyle w:val="SkvpPoznamka"/>
      </w:pPr>
      <w:r>
        <w:t xml:space="preserve">Učebná osnova predmetu zatiaľ nie je spracovaná.</w:t>
      </w:r>
    </w:p>
    <w:p>
      <w:pPr>
        <w:pStyle w:val="SkvpOblastMala"/>
        <w:pageBreakBefore/>
      </w:pPr>
      <w:r>
        <w:rPr>
          <w:color w:val="7B93DB"/>
        </w:rPr>
        <w:t xml:space="preserve">Jazyk a komunikácia  •  09</w:t>
      </w:r>
    </w:p>
    <w:p>
      <w:pPr>
        <w:pStyle w:val="Heading2"/>
        <w:pBdr>
          <w:bottom w:val="single" w:color="7B93DB" w:sz="12" w:space="6"/>
        </w:pBdr>
      </w:pPr>
      <w:r>
        <w:t xml:space="preserve">Jazykom k maturite</w:t>
      </w:r>
    </w:p>
    <w:p>
      <w:pPr>
        <w:pStyle w:val="SkvpPoznamka"/>
      </w:pPr>
      <w:r>
        <w:t xml:space="preserve">Učebná osnova predmetu zatiaľ nie je spracovaná.</w:t>
      </w:r>
    </w:p>
    <w:p>
      <w:pPr>
        <w:pStyle w:val="Heading1"/>
        <w:pageBreakBefore/>
        <w:pBdr>
          <w:left w:val="single" w:color="5DB5B0" w:sz="48" w:space="12"/>
        </w:pBdr>
        <w:ind w:left="360"/>
      </w:pPr>
      <w:r>
        <w:rPr>
          <w:color w:val="5DB5B0"/>
        </w:rPr>
        <w:t xml:space="preserve">Matematika a práca s informáciami</w:t>
      </w:r>
    </w:p>
    <w:p>
      <w:pPr>
        <w:pStyle w:val="SkvpPodnadpisOblasti"/>
        <w:ind w:left="360"/>
      </w:pPr>
      <w:r>
        <w:t xml:space="preserve">Vzdelávacia oblasť  •  8 predmetov</w:t>
      </w:r>
    </w:p>
    <w:p>
      <w:pPr>
        <w:pStyle w:val="SkvpZoznamPredmetov"/>
        <w:pBdr>
          <w:bottom w:val="single" w:color="CBD2D9" w:sz="4" w:space="4"/>
        </w:pBdr>
      </w:pPr>
      <w:r>
        <w:rPr>
          <w:b/>
          <w:color w:val="5DB5B0"/>
        </w:rPr>
        <w:t xml:space="preserve">01</w:t>
      </w:r>
      <w:r>
        <w:tab/>
      </w:r>
      <w:r>
        <w:t xml:space="preserve">Matematika</w:t>
      </w:r>
    </w:p>
    <w:p>
      <w:pPr>
        <w:pStyle w:val="SkvpZoznamPredmetov"/>
        <w:pBdr>
          <w:bottom w:val="single" w:color="CBD2D9" w:sz="4" w:space="4"/>
        </w:pBdr>
      </w:pPr>
      <w:r>
        <w:rPr>
          <w:b/>
          <w:color w:val="5DB5B0"/>
        </w:rPr>
        <w:t xml:space="preserve">02</w:t>
      </w:r>
      <w:r>
        <w:tab/>
      </w:r>
      <w:r>
        <w:t xml:space="preserve">Informatika</w:t>
      </w:r>
    </w:p>
    <w:p>
      <w:pPr>
        <w:pStyle w:val="SkvpZoznamPredmetov"/>
        <w:pBdr>
          <w:bottom w:val="single" w:color="CBD2D9" w:sz="4" w:space="4"/>
        </w:pBdr>
      </w:pPr>
      <w:r>
        <w:rPr>
          <w:b/>
          <w:color w:val="5DB5B0"/>
        </w:rPr>
        <w:t xml:space="preserve">03</w:t>
      </w:r>
      <w:r>
        <w:tab/>
      </w:r>
      <w:r>
        <w:t xml:space="preserve">Aplikovaná informatika</w:t>
      </w:r>
    </w:p>
    <w:p>
      <w:pPr>
        <w:pStyle w:val="SkvpZoznamPredmetov"/>
        <w:pBdr>
          <w:bottom w:val="single" w:color="CBD2D9" w:sz="4" w:space="4"/>
        </w:pBdr>
      </w:pPr>
      <w:r>
        <w:rPr>
          <w:b/>
          <w:color w:val="5DB5B0"/>
        </w:rPr>
        <w:t xml:space="preserve">04</w:t>
      </w:r>
      <w:r>
        <w:tab/>
      </w:r>
      <w:r>
        <w:t xml:space="preserve">Aplikovaná matematika</w:t>
      </w:r>
    </w:p>
    <w:p>
      <w:pPr>
        <w:pStyle w:val="SkvpZoznamPredmetov"/>
        <w:pBdr>
          <w:bottom w:val="single" w:color="CBD2D9" w:sz="4" w:space="4"/>
        </w:pBdr>
      </w:pPr>
      <w:r>
        <w:rPr>
          <w:b/>
          <w:color w:val="5DB5B0"/>
        </w:rPr>
        <w:t xml:space="preserve">05</w:t>
      </w:r>
      <w:r>
        <w:tab/>
      </w:r>
      <w:r>
        <w:t xml:space="preserve">Technika</w:t>
      </w:r>
    </w:p>
    <w:p>
      <w:pPr>
        <w:pStyle w:val="SkvpZoznamPredmetov"/>
        <w:pBdr>
          <w:bottom w:val="single" w:color="CBD2D9" w:sz="4" w:space="4"/>
        </w:pBdr>
      </w:pPr>
      <w:r>
        <w:rPr>
          <w:b/>
          <w:color w:val="5DB5B0"/>
        </w:rPr>
        <w:t xml:space="preserve">06</w:t>
      </w:r>
      <w:r>
        <w:tab/>
      </w:r>
      <w:r>
        <w:t xml:space="preserve">Cvičenia z matematiky</w:t>
      </w:r>
    </w:p>
    <w:p>
      <w:pPr>
        <w:pStyle w:val="SkvpZoznamPredmetov"/>
        <w:pBdr>
          <w:bottom w:val="single" w:color="CBD2D9" w:sz="4" w:space="4"/>
        </w:pBdr>
      </w:pPr>
      <w:r>
        <w:rPr>
          <w:b/>
          <w:color w:val="5DB5B0"/>
        </w:rPr>
        <w:t xml:space="preserve">07</w:t>
      </w:r>
      <w:r>
        <w:tab/>
      </w:r>
      <w:r>
        <w:t xml:space="preserve">Matematika pre maturantov</w:t>
      </w:r>
    </w:p>
    <w:p>
      <w:pPr>
        <w:pStyle w:val="SkvpZoznamPredmetov"/>
        <w:pBdr>
          <w:bottom w:val="single" w:color="CBD2D9" w:sz="4" w:space="4"/>
        </w:pBdr>
      </w:pPr>
      <w:r>
        <w:rPr>
          <w:b/>
          <w:color w:val="5DB5B0"/>
        </w:rPr>
        <w:t xml:space="preserve">08</w:t>
      </w:r>
      <w:r>
        <w:tab/>
      </w:r>
      <w:r>
        <w:t xml:space="preserve">Informatika pre maturantov</w:t>
      </w:r>
    </w:p>
    <w:p>
      <w:pPr>
        <w:pStyle w:val="Heading3"/>
        <w:pageBreakBefore/>
      </w:pPr>
      <w:r>
        <w:rPr>
          <w:color w:val="5DB5B0"/>
        </w:rPr>
        <w:t xml:space="preserve">Charakteristika vzdelávacej oblasti</w:t>
      </w:r>
    </w:p>
    <w:p>
      <w:pPr/>
      <w:r>
        <w:t xml:space="preserve">Cieľom vzdelávacej oblasti Matematika a práca s informáciami je rozvíjať matematické myslenie (pochopenie kvantitatívnych a priestorových vzťahov), ktoré je potrebné pri riešení rôznych problémov v každodenných situáciách, a spôsobilosť formulovať problém s využitím stratégie algoritmického prístupu pri jeho riešení. Prehlbuje abstraktné, analytické, systémové myslenie a logické usudzovanie žiaka. Učí zrozumiteľne a vecne argumentovať. Podporuje schopnosť efektívnym a tvorivým spôsobom využívať informačno-komunikačné technológie, informačné zdroje a možnosti aplikačného programového vybavenia. Buduje informatickú kultúru, založenú na rešpektovaní právnych a etických zásad používania informačných technológií a produktov.</w:t>
      </w:r>
    </w:p>
    <w:p>
      <w:pPr/>
      <w:r>
        <w:t xml:space="preserve">V priebehu štúdia žiaci nadobudnú vedomosti, zručnosti a kompetencie, ktoré nájdu uplatnenie v širokej škále odborov ľudskej činnosti. Zvládnutím vedomostí a zručností, ktoré primárne rozvíja táto vzdelávacia oblasť, sa zvyšuje pravdepodobnosť uplatnenia absolventov gymnázia v ďalšom vzdelávaní, vrátane celoživotného, a konečne i na samotnom trhu práce. Vzdelávaciu oblasť tvoria vyučovacie predmety matematika a informatika.</w:t>
      </w:r>
    </w:p>
    <w:p>
      <w:pPr/>
      <w:r>
        <w:rPr>
          <w:i/>
        </w:rPr>
        <w:t xml:space="preserve">Zdroj: Štátny vzdelávací program pre gymnáziá (úplné stredné všeobecné vzdelávanie), kapitola 4.2 Matematika a práca s informáciami. Štátny pedagogický ústav, schválilo MŠVVaŠ SR 20. 3. 2015 pod č. 2015-7846/10840:1-10B0, v znení dodatkov č. 1 – 5.</w:t>
      </w:r>
    </w:p>
    <w:p>
      <w:pPr>
        <w:pStyle w:val="SkvpOblastMala"/>
        <w:pageBreakBefore/>
      </w:pPr>
      <w:r>
        <w:rPr>
          <w:color w:val="5DB5B0"/>
        </w:rPr>
        <w:t xml:space="preserve">Matematika a práca s informáciami  •  01</w:t>
      </w:r>
    </w:p>
    <w:p>
      <w:pPr>
        <w:pStyle w:val="Heading2"/>
        <w:pBdr>
          <w:bottom w:val="single" w:color="5DB5B0" w:sz="12" w:space="6"/>
        </w:pBdr>
      </w:pPr>
      <w:r>
        <w:t xml:space="preserve">Matematika</w:t>
      </w:r>
    </w:p>
    <w:p>
      <w:pPr>
        <w:pStyle w:val="SkvpPoznamka"/>
      </w:pPr>
      <w:r>
        <w:t xml:space="preserve">Učebná osnova predmetu zatiaľ nie je spracovaná.</w:t>
      </w:r>
    </w:p>
    <w:p>
      <w:pPr>
        <w:pStyle w:val="SkvpOblastMala"/>
        <w:pageBreakBefore/>
      </w:pPr>
      <w:r>
        <w:rPr>
          <w:color w:val="5DB5B0"/>
        </w:rPr>
        <w:t xml:space="preserve">Matematika a práca s informáciami  •  02</w:t>
      </w:r>
    </w:p>
    <w:p>
      <w:pPr>
        <w:pStyle w:val="Heading2"/>
        <w:pBdr>
          <w:bottom w:val="single" w:color="5DB5B0" w:sz="12" w:space="6"/>
        </w:pBdr>
      </w:pPr>
      <w:r>
        <w:t xml:space="preserve">Informatika</w:t>
      </w:r>
    </w:p>
    <w:p>
      <w:pPr>
        <w:pStyle w:val="SkvpPoznamka"/>
      </w:pPr>
      <w:r>
        <w:t xml:space="preserve">Učebná osnova predmetu zatiaľ nie je spracovaná.</w:t>
      </w:r>
    </w:p>
    <w:p>
      <w:pPr>
        <w:pStyle w:val="SkvpOblastMala"/>
        <w:pageBreakBefore/>
      </w:pPr>
      <w:r>
        <w:rPr>
          <w:color w:val="5DB5B0"/>
        </w:rPr>
        <w:t xml:space="preserve">Matematika a práca s informáciami  •  03</w:t>
      </w:r>
    </w:p>
    <w:p>
      <w:pPr>
        <w:pStyle w:val="Heading2"/>
        <w:pBdr>
          <w:bottom w:val="single" w:color="5DB5B0" w:sz="12" w:space="6"/>
        </w:pBdr>
      </w:pPr>
      <w:r>
        <w:t xml:space="preserve">Aplikovaná informatika</w:t>
      </w:r>
    </w:p>
    <w:p>
      <w:pPr>
        <w:pStyle w:val="SkvpPoznamka"/>
      </w:pPr>
      <w:r>
        <w:t xml:space="preserve">Učebná osnova predmetu zatiaľ nie je spracovaná.</w:t>
      </w:r>
    </w:p>
    <w:p>
      <w:pPr>
        <w:pStyle w:val="SkvpOblastMala"/>
        <w:pageBreakBefore/>
      </w:pPr>
      <w:r>
        <w:rPr>
          <w:color w:val="5DB5B0"/>
        </w:rPr>
        <w:t xml:space="preserve">Matematika a práca s informáciami  •  04</w:t>
      </w:r>
    </w:p>
    <w:p>
      <w:pPr>
        <w:pStyle w:val="Heading2"/>
        <w:pBdr>
          <w:bottom w:val="single" w:color="5DB5B0" w:sz="12" w:space="6"/>
        </w:pBdr>
      </w:pPr>
      <w:r>
        <w:t xml:space="preserve">Aplikovaná matematika</w:t>
      </w:r>
    </w:p>
    <w:p>
      <w:pPr>
        <w:pStyle w:val="SkvpPoznamka"/>
      </w:pPr>
      <w:r>
        <w:t xml:space="preserve">Učebná osnova predmetu zatiaľ nie je spracovaná.</w:t>
      </w:r>
    </w:p>
    <w:p>
      <w:pPr>
        <w:pStyle w:val="SkvpOblastMala"/>
        <w:pageBreakBefore/>
      </w:pPr>
      <w:r>
        <w:rPr>
          <w:color w:val="5DB5B0"/>
        </w:rPr>
        <w:t xml:space="preserve">Matematika a práca s informáciami  •  05</w:t>
      </w:r>
    </w:p>
    <w:p>
      <w:pPr>
        <w:pStyle w:val="Heading2"/>
        <w:pBdr>
          <w:bottom w:val="single" w:color="5DB5B0" w:sz="12" w:space="6"/>
        </w:pBdr>
      </w:pPr>
      <w:r>
        <w:t xml:space="preserve">Technika</w:t>
      </w:r>
    </w:p>
    <w:p>
      <w:pPr>
        <w:pStyle w:val="SkvpPoznamka"/>
      </w:pPr>
      <w:r>
        <w:t xml:space="preserve">Učebná osnova predmetu zatiaľ nie je spracovaná.</w:t>
      </w:r>
    </w:p>
    <w:p>
      <w:pPr>
        <w:pStyle w:val="SkvpOblastMala"/>
        <w:pageBreakBefore/>
      </w:pPr>
      <w:r>
        <w:rPr>
          <w:color w:val="5DB5B0"/>
        </w:rPr>
        <w:t xml:space="preserve">Matematika a práca s informáciami  •  06</w:t>
      </w:r>
    </w:p>
    <w:p>
      <w:pPr>
        <w:pStyle w:val="Heading2"/>
        <w:pBdr>
          <w:bottom w:val="single" w:color="5DB5B0" w:sz="12" w:space="6"/>
        </w:pBdr>
      </w:pPr>
      <w:r>
        <w:t xml:space="preserve">Cvičenia z matematiky</w:t>
      </w:r>
    </w:p>
    <w:p>
      <w:pPr>
        <w:pStyle w:val="SkvpPoznamka"/>
      </w:pPr>
      <w:r>
        <w:t xml:space="preserve">Učebná osnova predmetu zatiaľ nie je spracovaná.</w:t>
      </w:r>
    </w:p>
    <w:p>
      <w:pPr>
        <w:pStyle w:val="SkvpOblastMala"/>
        <w:pageBreakBefore/>
      </w:pPr>
      <w:r>
        <w:rPr>
          <w:color w:val="5DB5B0"/>
        </w:rPr>
        <w:t xml:space="preserve">Matematika a práca s informáciami  •  07</w:t>
      </w:r>
    </w:p>
    <w:p>
      <w:pPr>
        <w:pStyle w:val="Heading2"/>
        <w:pBdr>
          <w:bottom w:val="single" w:color="5DB5B0" w:sz="12" w:space="6"/>
        </w:pBdr>
      </w:pPr>
      <w:r>
        <w:t xml:space="preserve">Matematika pre maturantov</w:t>
      </w:r>
    </w:p>
    <w:p>
      <w:pPr>
        <w:pStyle w:val="SkvpPoznamka"/>
      </w:pPr>
      <w:r>
        <w:t xml:space="preserve">Učebná osnova predmetu zatiaľ nie je spracovaná.</w:t>
      </w:r>
    </w:p>
    <w:p>
      <w:pPr>
        <w:pStyle w:val="SkvpOblastMala"/>
        <w:pageBreakBefore/>
      </w:pPr>
      <w:r>
        <w:rPr>
          <w:color w:val="5DB5B0"/>
        </w:rPr>
        <w:t xml:space="preserve">Matematika a práca s informáciami  •  08</w:t>
      </w:r>
    </w:p>
    <w:p>
      <w:pPr>
        <w:pStyle w:val="Heading2"/>
        <w:pBdr>
          <w:bottom w:val="single" w:color="5DB5B0" w:sz="12" w:space="6"/>
        </w:pBdr>
      </w:pPr>
      <w:r>
        <w:t xml:space="preserve">Informatika pre maturantov</w:t>
      </w:r>
    </w:p>
    <w:p>
      <w:pPr>
        <w:pStyle w:val="SkvpPoznamka"/>
      </w:pPr>
      <w:r>
        <w:t xml:space="preserve">Učebná osnova predmetu zatiaľ nie je spracovaná.</w:t>
      </w:r>
    </w:p>
    <w:p>
      <w:pPr>
        <w:pStyle w:val="Heading1"/>
        <w:pageBreakBefore/>
        <w:pBdr>
          <w:left w:val="single" w:color="7CBF8E" w:sz="48" w:space="12"/>
        </w:pBdr>
        <w:ind w:left="360"/>
      </w:pPr>
      <w:r>
        <w:rPr>
          <w:color w:val="7CBF8E"/>
        </w:rPr>
        <w:t xml:space="preserve">Človek a príroda</w:t>
      </w:r>
    </w:p>
    <w:p>
      <w:pPr>
        <w:pStyle w:val="SkvpPodnadpisOblasti"/>
        <w:ind w:left="360"/>
      </w:pPr>
      <w:r>
        <w:t xml:space="preserve">Vzdelávacia oblasť  •  10 predmetov</w:t>
      </w:r>
    </w:p>
    <w:p>
      <w:pPr>
        <w:pStyle w:val="SkvpZoznamPredmetov"/>
        <w:pBdr>
          <w:bottom w:val="single" w:color="CBD2D9" w:sz="4" w:space="4"/>
        </w:pBdr>
      </w:pPr>
      <w:r>
        <w:rPr>
          <w:b/>
          <w:color w:val="7CBF8E"/>
        </w:rPr>
        <w:t xml:space="preserve">01</w:t>
      </w:r>
      <w:r>
        <w:tab/>
      </w:r>
      <w:r>
        <w:t xml:space="preserve">Fyzika</w:t>
      </w:r>
    </w:p>
    <w:p>
      <w:pPr>
        <w:pStyle w:val="SkvpZoznamPredmetov"/>
        <w:pBdr>
          <w:bottom w:val="single" w:color="CBD2D9" w:sz="4" w:space="4"/>
        </w:pBdr>
      </w:pPr>
      <w:r>
        <w:rPr>
          <w:b/>
          <w:color w:val="7CBF8E"/>
        </w:rPr>
        <w:t xml:space="preserve">02</w:t>
      </w:r>
      <w:r>
        <w:tab/>
      </w:r>
      <w:r>
        <w:t xml:space="preserve">Chémia</w:t>
      </w:r>
    </w:p>
    <w:p>
      <w:pPr>
        <w:pStyle w:val="SkvpZoznamPredmetov"/>
        <w:pBdr>
          <w:bottom w:val="single" w:color="CBD2D9" w:sz="4" w:space="4"/>
        </w:pBdr>
      </w:pPr>
      <w:r>
        <w:rPr>
          <w:b/>
          <w:color w:val="7CBF8E"/>
        </w:rPr>
        <w:t xml:space="preserve">03</w:t>
      </w:r>
      <w:r>
        <w:tab/>
      </w:r>
      <w:r>
        <w:t xml:space="preserve">Biológia</w:t>
      </w:r>
    </w:p>
    <w:p>
      <w:pPr>
        <w:pStyle w:val="SkvpZoznamPredmetov"/>
        <w:pBdr>
          <w:bottom w:val="single" w:color="CBD2D9" w:sz="4" w:space="4"/>
        </w:pBdr>
      </w:pPr>
      <w:r>
        <w:rPr>
          <w:b/>
          <w:color w:val="7CBF8E"/>
        </w:rPr>
        <w:t xml:space="preserve">04</w:t>
      </w:r>
      <w:r>
        <w:tab/>
      </w:r>
      <w:r>
        <w:t xml:space="preserve">Experimentálna prírodoveda</w:t>
      </w:r>
    </w:p>
    <w:p>
      <w:pPr>
        <w:pStyle w:val="SkvpZoznamPredmetov"/>
        <w:pBdr>
          <w:bottom w:val="single" w:color="CBD2D9" w:sz="4" w:space="4"/>
        </w:pBdr>
      </w:pPr>
      <w:r>
        <w:rPr>
          <w:b/>
          <w:color w:val="7CBF8E"/>
        </w:rPr>
        <w:t xml:space="preserve">05</w:t>
      </w:r>
      <w:r>
        <w:tab/>
      </w:r>
      <w:r>
        <w:t xml:space="preserve">Seminár z biológie</w:t>
      </w:r>
    </w:p>
    <w:p>
      <w:pPr>
        <w:pStyle w:val="SkvpZoznamPredmetov"/>
        <w:pBdr>
          <w:bottom w:val="single" w:color="CBD2D9" w:sz="4" w:space="4"/>
        </w:pBdr>
      </w:pPr>
      <w:r>
        <w:rPr>
          <w:b/>
          <w:color w:val="7CBF8E"/>
        </w:rPr>
        <w:t xml:space="preserve">06</w:t>
      </w:r>
      <w:r>
        <w:tab/>
      </w:r>
      <w:r>
        <w:t xml:space="preserve">Seminár z chémie</w:t>
      </w:r>
    </w:p>
    <w:p>
      <w:pPr>
        <w:pStyle w:val="SkvpZoznamPredmetov"/>
        <w:pBdr>
          <w:bottom w:val="single" w:color="CBD2D9" w:sz="4" w:space="4"/>
        </w:pBdr>
      </w:pPr>
      <w:r>
        <w:rPr>
          <w:b/>
          <w:color w:val="7CBF8E"/>
        </w:rPr>
        <w:t xml:space="preserve">07</w:t>
      </w:r>
      <w:r>
        <w:tab/>
      </w:r>
      <w:r>
        <w:t xml:space="preserve">Seminár z fyziky</w:t>
      </w:r>
    </w:p>
    <w:p>
      <w:pPr>
        <w:pStyle w:val="SkvpZoznamPredmetov"/>
        <w:pBdr>
          <w:bottom w:val="single" w:color="CBD2D9" w:sz="4" w:space="4"/>
        </w:pBdr>
      </w:pPr>
      <w:r>
        <w:rPr>
          <w:b/>
          <w:color w:val="7CBF8E"/>
        </w:rPr>
        <w:t xml:space="preserve">08</w:t>
      </w:r>
      <w:r>
        <w:tab/>
      </w:r>
      <w:r>
        <w:t xml:space="preserve">Biológia pre maturantov</w:t>
      </w:r>
    </w:p>
    <w:p>
      <w:pPr>
        <w:pStyle w:val="SkvpZoznamPredmetov"/>
        <w:pBdr>
          <w:bottom w:val="single" w:color="CBD2D9" w:sz="4" w:space="4"/>
        </w:pBdr>
      </w:pPr>
      <w:r>
        <w:rPr>
          <w:b/>
          <w:color w:val="7CBF8E"/>
        </w:rPr>
        <w:t xml:space="preserve">09</w:t>
      </w:r>
      <w:r>
        <w:tab/>
      </w:r>
      <w:r>
        <w:t xml:space="preserve">Chémia pre maturantov</w:t>
      </w:r>
    </w:p>
    <w:p>
      <w:pPr>
        <w:pStyle w:val="SkvpZoznamPredmetov"/>
        <w:pBdr>
          <w:bottom w:val="single" w:color="CBD2D9" w:sz="4" w:space="4"/>
        </w:pBdr>
      </w:pPr>
      <w:r>
        <w:rPr>
          <w:b/>
          <w:color w:val="7CBF8E"/>
        </w:rPr>
        <w:t xml:space="preserve">10</w:t>
      </w:r>
      <w:r>
        <w:tab/>
      </w:r>
      <w:r>
        <w:t xml:space="preserve">Fyzika pre maturantov</w:t>
      </w:r>
    </w:p>
    <w:p>
      <w:pPr>
        <w:pStyle w:val="Heading3"/>
        <w:pageBreakBefore/>
      </w:pPr>
      <w:r>
        <w:rPr>
          <w:color w:val="7CBF8E"/>
        </w:rPr>
        <w:t xml:space="preserve">Charakteristika vzdelávacej oblasti</w:t>
      </w:r>
    </w:p>
    <w:p>
      <w:pPr/>
      <w:r>
        <w:t xml:space="preserve">Základnou charakteristikou vzdelávacej oblasti je hľadanie zákonitých súvislostí medzi pozorovanými vlastnosťami prírodných objektov a javov, ktoré nás obklopujú v každodennom živote, a porozumenie ich podstate, čo si vyžaduje interdisciplinárny prístup, a preto aj úzku spoluprácu v rámci prírodovedných predmetov. Cieľom je nielen viesť žiakov k pochopeniu dejov prebiehajúcich v reálnom svete, ale aj naučiť ich kriticky myslieť, získavať a hodnotiť informácie. Všetky vzdelávacie postupy budujú nové poznatky na predchádzajúcich skúsenostiach žiaka, čím sa jeho aktívna činnosť stáva hlavnou formou vzdelávania. Dôraz sa kladie na rozvíjanie poznávacích schopností, komunikačných zručností (formulácia a vyjadrenie vlastných názorov, počúvanie názorov druhých), vytváranie spôsobilostí pre vedeckú prácu, a to najmä spôsobilosti pozorovania, vnímania časových a priestorových vzťahov medzi objektmi a javmi, klasifikácie, merania a predvídania.</w:t>
      </w:r>
    </w:p>
    <w:p>
      <w:pPr/>
      <w:r>
        <w:t xml:space="preserve">Prírodovedné vzdelávanie poskytne žiakovi možnosť získania informácií o tom, ako súvisí rozvoj prírodných vied s rozvojom techniky, technológií a so spôsobom života spoločnosti. Vzdelávaciu oblasť tvoria vyučovacie predmety fyzika, chémia a biológia.</w:t>
      </w:r>
    </w:p>
    <w:p>
      <w:pPr/>
      <w:r>
        <w:rPr>
          <w:i/>
        </w:rPr>
        <w:t xml:space="preserve">Zdroj: Štátny vzdelávací program pre gymnáziá (úplné stredné všeobecné vzdelávanie), kapitola 4.3 Človek a príroda. Štátny pedagogický ústav, schválilo MŠVVaŠ SR 20. 3. 2015 pod č. 2015-7846/10840:1-10B0, v znení dodatkov č. 1 – 5.</w:t>
      </w:r>
    </w:p>
    <w:p>
      <w:pPr>
        <w:pStyle w:val="SkvpOblastMala"/>
        <w:pageBreakBefore/>
      </w:pPr>
      <w:r>
        <w:rPr>
          <w:color w:val="7CBF8E"/>
        </w:rPr>
        <w:t xml:space="preserve">Človek a príroda  •  01</w:t>
      </w:r>
    </w:p>
    <w:p>
      <w:pPr>
        <w:pStyle w:val="Heading2"/>
        <w:pBdr>
          <w:bottom w:val="single" w:color="7CBF8E" w:sz="12" w:space="6"/>
        </w:pBdr>
      </w:pPr>
      <w:r>
        <w:t xml:space="preserve">Fyzika</w:t>
      </w:r>
    </w:p>
    <w:p>
      <w:pPr>
        <w:pStyle w:val="Heading3"/>
      </w:pPr>
      <w:r>
        <w:rPr>
          <w:color w:val="7CBF8E"/>
        </w:rPr>
        <w:t xml:space="preserve">Charakteristika predmetu</w:t>
      </w:r>
    </w:p>
    <w:p>
      <w:pPr/>
      <w:r>
        <w:t xml:space="preserve">Nová osnova fyziky z roku 2025.</w:t>
      </w:r>
    </w:p>
    <w:p>
      <w:pPr>
        <w:pStyle w:val="SkvpOblastMala"/>
        <w:pageBreakBefore/>
      </w:pPr>
      <w:r>
        <w:rPr>
          <w:color w:val="7CBF8E"/>
        </w:rPr>
        <w:t xml:space="preserve">Človek a príroda  •  02</w:t>
      </w:r>
    </w:p>
    <w:p>
      <w:pPr>
        <w:pStyle w:val="Heading2"/>
        <w:pBdr>
          <w:bottom w:val="single" w:color="7CBF8E" w:sz="12" w:space="6"/>
        </w:pBdr>
      </w:pPr>
      <w:r>
        <w:t xml:space="preserve">Chémia</w:t>
      </w:r>
    </w:p>
    <w:p>
      <w:pPr>
        <w:pStyle w:val="SkvpPoznamka"/>
      </w:pPr>
      <w:r>
        <w:t xml:space="preserve">Učebná osnova predmetu zatiaľ nie je spracovaná.</w:t>
      </w:r>
    </w:p>
    <w:p>
      <w:pPr>
        <w:pStyle w:val="SkvpOblastMala"/>
        <w:pageBreakBefore/>
      </w:pPr>
      <w:r>
        <w:rPr>
          <w:color w:val="7CBF8E"/>
        </w:rPr>
        <w:t xml:space="preserve">Človek a príroda  •  03</w:t>
      </w:r>
    </w:p>
    <w:p>
      <w:pPr>
        <w:pStyle w:val="Heading2"/>
        <w:pBdr>
          <w:bottom w:val="single" w:color="7CBF8E" w:sz="12" w:space="6"/>
        </w:pBdr>
      </w:pPr>
      <w:r>
        <w:t xml:space="preserve">Biológia</w:t>
      </w:r>
    </w:p>
    <w:p>
      <w:pPr>
        <w:pStyle w:val="SkvpPoznamka"/>
      </w:pPr>
      <w:r>
        <w:t xml:space="preserve">Učebná osnova predmetu zatiaľ nie je spracovaná.</w:t>
      </w:r>
    </w:p>
    <w:p>
      <w:pPr>
        <w:pStyle w:val="SkvpOblastMala"/>
        <w:pageBreakBefore/>
      </w:pPr>
      <w:r>
        <w:rPr>
          <w:color w:val="7CBF8E"/>
        </w:rPr>
        <w:t xml:space="preserve">Človek a príroda  •  04</w:t>
      </w:r>
    </w:p>
    <w:p>
      <w:pPr>
        <w:pStyle w:val="Heading2"/>
        <w:pBdr>
          <w:bottom w:val="single" w:color="7CBF8E" w:sz="12" w:space="6"/>
        </w:pBdr>
      </w:pPr>
      <w:r>
        <w:t xml:space="preserve">Experimentálna prírodoveda</w:t>
      </w:r>
    </w:p>
    <w:p>
      <w:pPr>
        <w:pStyle w:val="SkvpPoznamka"/>
      </w:pPr>
      <w:r>
        <w:t xml:space="preserve">Učebná osnova predmetu zatiaľ nie je spracovaná.</w:t>
      </w:r>
    </w:p>
    <w:p>
      <w:pPr>
        <w:pStyle w:val="SkvpOblastMala"/>
        <w:pageBreakBefore/>
      </w:pPr>
      <w:r>
        <w:rPr>
          <w:color w:val="7CBF8E"/>
        </w:rPr>
        <w:t xml:space="preserve">Človek a príroda  •  05</w:t>
      </w:r>
    </w:p>
    <w:p>
      <w:pPr>
        <w:pStyle w:val="Heading2"/>
        <w:pBdr>
          <w:bottom w:val="single" w:color="7CBF8E" w:sz="12" w:space="6"/>
        </w:pBdr>
      </w:pPr>
      <w:r>
        <w:t xml:space="preserve">Seminár z biológie</w:t>
      </w:r>
    </w:p>
    <w:p>
      <w:pPr>
        <w:pStyle w:val="SkvpPoznamka"/>
      </w:pPr>
      <w:r>
        <w:t xml:space="preserve">Učebná osnova predmetu zatiaľ nie je spracovaná.</w:t>
      </w:r>
    </w:p>
    <w:p>
      <w:pPr>
        <w:pStyle w:val="SkvpOblastMala"/>
        <w:pageBreakBefore/>
      </w:pPr>
      <w:r>
        <w:rPr>
          <w:color w:val="7CBF8E"/>
        </w:rPr>
        <w:t xml:space="preserve">Človek a príroda  •  06</w:t>
      </w:r>
    </w:p>
    <w:p>
      <w:pPr>
        <w:pStyle w:val="Heading2"/>
        <w:pBdr>
          <w:bottom w:val="single" w:color="7CBF8E" w:sz="12" w:space="6"/>
        </w:pBdr>
      </w:pPr>
      <w:r>
        <w:t xml:space="preserve">Seminár z chémie</w:t>
      </w:r>
    </w:p>
    <w:p>
      <w:pPr>
        <w:pStyle w:val="SkvpPoznamka"/>
      </w:pPr>
      <w:r>
        <w:t xml:space="preserve">Učebná osnova predmetu zatiaľ nie je spracovaná.</w:t>
      </w:r>
    </w:p>
    <w:p>
      <w:pPr>
        <w:pStyle w:val="SkvpOblastMala"/>
        <w:pageBreakBefore/>
      </w:pPr>
      <w:r>
        <w:rPr>
          <w:color w:val="7CBF8E"/>
        </w:rPr>
        <w:t xml:space="preserve">Človek a príroda  •  07</w:t>
      </w:r>
    </w:p>
    <w:p>
      <w:pPr>
        <w:pStyle w:val="Heading2"/>
        <w:pBdr>
          <w:bottom w:val="single" w:color="7CBF8E" w:sz="12" w:space="6"/>
        </w:pBdr>
      </w:pPr>
      <w:r>
        <w:t xml:space="preserve">Seminár z fyziky</w:t>
      </w:r>
    </w:p>
    <w:p>
      <w:pPr>
        <w:pStyle w:val="SkvpPoznamka"/>
      </w:pPr>
      <w:r>
        <w:t xml:space="preserve">Učebná osnova predmetu zatiaľ nie je spracovaná.</w:t>
      </w:r>
    </w:p>
    <w:p>
      <w:pPr>
        <w:pStyle w:val="SkvpOblastMala"/>
        <w:pageBreakBefore/>
      </w:pPr>
      <w:r>
        <w:rPr>
          <w:color w:val="7CBF8E"/>
        </w:rPr>
        <w:t xml:space="preserve">Človek a príroda  •  08</w:t>
      </w:r>
    </w:p>
    <w:p>
      <w:pPr>
        <w:pStyle w:val="Heading2"/>
        <w:pBdr>
          <w:bottom w:val="single" w:color="7CBF8E" w:sz="12" w:space="6"/>
        </w:pBdr>
      </w:pPr>
      <w:r>
        <w:t xml:space="preserve">Biológia pre maturantov</w:t>
      </w:r>
    </w:p>
    <w:p>
      <w:pPr>
        <w:pStyle w:val="SkvpPoznamka"/>
      </w:pPr>
      <w:r>
        <w:t xml:space="preserve">Učebná osnova predmetu zatiaľ nie je spracovaná.</w:t>
      </w:r>
    </w:p>
    <w:p>
      <w:pPr>
        <w:pStyle w:val="SkvpOblastMala"/>
        <w:pageBreakBefore/>
      </w:pPr>
      <w:r>
        <w:rPr>
          <w:color w:val="7CBF8E"/>
        </w:rPr>
        <w:t xml:space="preserve">Človek a príroda  •  09</w:t>
      </w:r>
    </w:p>
    <w:p>
      <w:pPr>
        <w:pStyle w:val="Heading2"/>
        <w:pBdr>
          <w:bottom w:val="single" w:color="7CBF8E" w:sz="12" w:space="6"/>
        </w:pBdr>
      </w:pPr>
      <w:r>
        <w:t xml:space="preserve">Chémia pre maturantov</w:t>
      </w:r>
    </w:p>
    <w:p>
      <w:pPr>
        <w:pStyle w:val="SkvpPoznamka"/>
      </w:pPr>
      <w:r>
        <w:t xml:space="preserve">Učebná osnova predmetu zatiaľ nie je spracovaná.</w:t>
      </w:r>
    </w:p>
    <w:p>
      <w:pPr>
        <w:pStyle w:val="SkvpOblastMala"/>
        <w:pageBreakBefore/>
      </w:pPr>
      <w:r>
        <w:rPr>
          <w:color w:val="7CBF8E"/>
        </w:rPr>
        <w:t xml:space="preserve">Človek a príroda  •  10</w:t>
      </w:r>
    </w:p>
    <w:p>
      <w:pPr>
        <w:pStyle w:val="Heading2"/>
        <w:pBdr>
          <w:bottom w:val="single" w:color="7CBF8E" w:sz="12" w:space="6"/>
        </w:pBdr>
      </w:pPr>
      <w:r>
        <w:t xml:space="preserve">Fyzika pre maturantov</w:t>
      </w:r>
    </w:p>
    <w:p>
      <w:pPr>
        <w:pStyle w:val="SkvpPoznamka"/>
      </w:pPr>
      <w:r>
        <w:t xml:space="preserve">Učebná osnova predmetu zatiaľ nie je spracovaná.</w:t>
      </w:r>
    </w:p>
    <w:p>
      <w:pPr>
        <w:pStyle w:val="Heading1"/>
        <w:pageBreakBefore/>
        <w:pBdr>
          <w:left w:val="single" w:color="EDB06B" w:sz="48" w:space="12"/>
        </w:pBdr>
        <w:ind w:left="360"/>
      </w:pPr>
      <w:r>
        <w:rPr>
          <w:color w:val="EDB06B"/>
        </w:rPr>
        <w:t xml:space="preserve">Človek a spoločnosť</w:t>
      </w:r>
    </w:p>
    <w:p>
      <w:pPr>
        <w:pStyle w:val="SkvpPodnadpisOblasti"/>
        <w:ind w:left="360"/>
      </w:pPr>
      <w:r>
        <w:t xml:space="preserve">Vzdelávacia oblasť  •  9 predmetov</w:t>
      </w:r>
    </w:p>
    <w:p>
      <w:pPr>
        <w:pStyle w:val="SkvpZoznamPredmetov"/>
        <w:pBdr>
          <w:bottom w:val="single" w:color="CBD2D9" w:sz="4" w:space="4"/>
        </w:pBdr>
      </w:pPr>
      <w:r>
        <w:rPr>
          <w:b/>
          <w:color w:val="EDB06B"/>
        </w:rPr>
        <w:t xml:space="preserve">01</w:t>
      </w:r>
      <w:r>
        <w:tab/>
      </w:r>
      <w:r>
        <w:t xml:space="preserve">Dejepis</w:t>
      </w:r>
    </w:p>
    <w:p>
      <w:pPr>
        <w:pStyle w:val="SkvpZoznamPredmetov"/>
        <w:pBdr>
          <w:bottom w:val="single" w:color="CBD2D9" w:sz="4" w:space="4"/>
        </w:pBdr>
      </w:pPr>
      <w:r>
        <w:rPr>
          <w:b/>
          <w:color w:val="EDB06B"/>
        </w:rPr>
        <w:t xml:space="preserve">02</w:t>
      </w:r>
      <w:r>
        <w:tab/>
      </w:r>
      <w:r>
        <w:t xml:space="preserve">Geografia</w:t>
      </w:r>
    </w:p>
    <w:p>
      <w:pPr>
        <w:pStyle w:val="SkvpZoznamPredmetov"/>
        <w:pBdr>
          <w:bottom w:val="single" w:color="CBD2D9" w:sz="4" w:space="4"/>
        </w:pBdr>
      </w:pPr>
      <w:r>
        <w:rPr>
          <w:b/>
          <w:color w:val="EDB06B"/>
        </w:rPr>
        <w:t xml:space="preserve">03</w:t>
      </w:r>
      <w:r>
        <w:tab/>
      </w:r>
      <w:r>
        <w:t xml:space="preserve">Občianska náuka</w:t>
      </w:r>
    </w:p>
    <w:p>
      <w:pPr>
        <w:pStyle w:val="SkvpZoznamPredmetov"/>
        <w:pBdr>
          <w:bottom w:val="single" w:color="CBD2D9" w:sz="4" w:space="4"/>
        </w:pBdr>
      </w:pPr>
      <w:r>
        <w:rPr>
          <w:b/>
          <w:color w:val="EDB06B"/>
        </w:rPr>
        <w:t xml:space="preserve">04</w:t>
      </w:r>
      <w:r>
        <w:tab/>
      </w:r>
      <w:r>
        <w:t xml:space="preserve">Finančná gramotnosť</w:t>
      </w:r>
    </w:p>
    <w:p>
      <w:pPr>
        <w:pStyle w:val="SkvpZoznamPredmetov"/>
        <w:pBdr>
          <w:bottom w:val="single" w:color="CBD2D9" w:sz="4" w:space="4"/>
        </w:pBdr>
      </w:pPr>
      <w:r>
        <w:rPr>
          <w:b/>
          <w:color w:val="EDB06B"/>
        </w:rPr>
        <w:t xml:space="preserve">05</w:t>
      </w:r>
      <w:r>
        <w:tab/>
      </w:r>
      <w:r>
        <w:t xml:space="preserve">Seminár z dejepisu</w:t>
      </w:r>
    </w:p>
    <w:p>
      <w:pPr>
        <w:pStyle w:val="SkvpZoznamPredmetov"/>
        <w:pBdr>
          <w:bottom w:val="single" w:color="CBD2D9" w:sz="4" w:space="4"/>
        </w:pBdr>
      </w:pPr>
      <w:r>
        <w:rPr>
          <w:b/>
          <w:color w:val="EDB06B"/>
        </w:rPr>
        <w:t xml:space="preserve">06</w:t>
      </w:r>
      <w:r>
        <w:tab/>
      </w:r>
      <w:r>
        <w:t xml:space="preserve">Seminár z geografie</w:t>
      </w:r>
    </w:p>
    <w:p>
      <w:pPr>
        <w:pStyle w:val="SkvpZoznamPredmetov"/>
        <w:pBdr>
          <w:bottom w:val="single" w:color="CBD2D9" w:sz="4" w:space="4"/>
        </w:pBdr>
      </w:pPr>
      <w:r>
        <w:rPr>
          <w:b/>
          <w:color w:val="EDB06B"/>
        </w:rPr>
        <w:t xml:space="preserve">07</w:t>
      </w:r>
      <w:r>
        <w:tab/>
      </w:r>
      <w:r>
        <w:t xml:space="preserve">Dejepis pre maturantov</w:t>
      </w:r>
    </w:p>
    <w:p>
      <w:pPr>
        <w:pStyle w:val="SkvpZoznamPredmetov"/>
        <w:pBdr>
          <w:bottom w:val="single" w:color="CBD2D9" w:sz="4" w:space="4"/>
        </w:pBdr>
      </w:pPr>
      <w:r>
        <w:rPr>
          <w:b/>
          <w:color w:val="EDB06B"/>
        </w:rPr>
        <w:t xml:space="preserve">08</w:t>
      </w:r>
      <w:r>
        <w:tab/>
      </w:r>
      <w:r>
        <w:t xml:space="preserve">Geografia pre maturantov</w:t>
      </w:r>
    </w:p>
    <w:p>
      <w:pPr>
        <w:pStyle w:val="SkvpZoznamPredmetov"/>
        <w:pBdr>
          <w:bottom w:val="single" w:color="CBD2D9" w:sz="4" w:space="4"/>
        </w:pBdr>
      </w:pPr>
      <w:r>
        <w:rPr>
          <w:b/>
          <w:color w:val="EDB06B"/>
        </w:rPr>
        <w:t xml:space="preserve">09</w:t>
      </w:r>
      <w:r>
        <w:tab/>
      </w:r>
      <w:r>
        <w:t xml:space="preserve">Občianska náuka pre maturantov</w:t>
      </w:r>
    </w:p>
    <w:p>
      <w:pPr>
        <w:pStyle w:val="Heading3"/>
        <w:pageBreakBefore/>
      </w:pPr>
      <w:r>
        <w:rPr>
          <w:color w:val="EDB06B"/>
        </w:rPr>
        <w:t xml:space="preserve">Charakteristika vzdelávacej oblasti</w:t>
      </w:r>
    </w:p>
    <w:p>
      <w:pPr/>
      <w:r>
        <w:t xml:space="preserve">Hlavným cieľom vzdelávacej oblasti je aktívny prístup k reflektovaniu minulosti a prítomnosti v kontexte miesta, regiónu a štátu. Prostredníctvom vzdelávacej oblasti sa žiaci zoznamujú s najvýznamnejšími historickými, geografickými a spoločenskými procesmi a javmi, ktoré sa premietajú do ich každodenného života. Učia sa z potrieb prítomnosti o minulosti svojho národa a iných národov, poznávajú prírodné aj spoločenské charakteristiky svojej krajiny a iných krajín v Európe i vo svete. Žiaci sa učia kriticky reflektovať spoločenskú skutočnosť, posudzovať rôzne prístupy k riešeniu problémov v prítomnosti, ktorej korene možno hľadať v minulosti. Vzdelávacia oblasť prispieva k utváraniu historického vedomia. Ďalej vedie žiakov k rešpektovaniu základných princípov demokracie a pripravuje žiakov na zodpovedný občiansky život v demokratickej spoločnosti. Vzdelávaciu oblasť Človek a spoločnosť tvoria vyučovacie predmety dejepis, občianska náuka a geografia.</w:t>
      </w:r>
    </w:p>
    <w:p>
      <w:pPr/>
      <w:r>
        <w:rPr>
          <w:i/>
        </w:rPr>
        <w:t xml:space="preserve">Zdroj: Štátny vzdelávací program pre gymnáziá (úplné stredné všeobecné vzdelávanie), kapitola 4.4 Človek a spoločnosť. Štátny pedagogický ústav, schválilo MŠVVaŠ SR 20. 3. 2015 pod č. 2015-7846/10840:1-10B0, v znení dodatkov č. 1 – 5.</w:t>
      </w:r>
    </w:p>
    <w:p>
      <w:pPr>
        <w:pStyle w:val="SkvpOblastMala"/>
        <w:pageBreakBefore/>
      </w:pPr>
      <w:r>
        <w:rPr>
          <w:color w:val="EDB06B"/>
        </w:rPr>
        <w:t xml:space="preserve">Človek a spoločnosť  •  01</w:t>
      </w:r>
    </w:p>
    <w:p>
      <w:pPr>
        <w:pStyle w:val="Heading2"/>
        <w:pBdr>
          <w:bottom w:val="single" w:color="EDB06B" w:sz="12" w:space="6"/>
        </w:pBdr>
      </w:pPr>
      <w:r>
        <w:t xml:space="preserve">Dejepis</w:t>
      </w:r>
    </w:p>
    <w:p>
      <w:pPr>
        <w:pStyle w:val="SkvpPoznamka"/>
      </w:pPr>
      <w:r>
        <w:t xml:space="preserve">Učebná osnova predmetu zatiaľ nie je spracovaná.</w:t>
      </w:r>
    </w:p>
    <w:p>
      <w:pPr>
        <w:pStyle w:val="SkvpOblastMala"/>
        <w:pageBreakBefore/>
      </w:pPr>
      <w:r>
        <w:rPr>
          <w:color w:val="EDB06B"/>
        </w:rPr>
        <w:t xml:space="preserve">Človek a spoločnosť  •  02</w:t>
      </w:r>
    </w:p>
    <w:p>
      <w:pPr>
        <w:pStyle w:val="Heading2"/>
        <w:pBdr>
          <w:bottom w:val="single" w:color="EDB06B" w:sz="12" w:space="6"/>
        </w:pBdr>
      </w:pPr>
      <w:r>
        <w:t xml:space="preserve">Geografia</w:t>
      </w:r>
    </w:p>
    <w:p>
      <w:pPr>
        <w:pStyle w:val="SkvpPoznamka"/>
      </w:pPr>
      <w:r>
        <w:t xml:space="preserve">Učebná osnova predmetu zatiaľ nie je spracovaná.</w:t>
      </w:r>
    </w:p>
    <w:p>
      <w:pPr>
        <w:pStyle w:val="SkvpOblastMala"/>
        <w:pageBreakBefore/>
      </w:pPr>
      <w:r>
        <w:rPr>
          <w:color w:val="EDB06B"/>
        </w:rPr>
        <w:t xml:space="preserve">Človek a spoločnosť  •  03</w:t>
      </w:r>
    </w:p>
    <w:p>
      <w:pPr>
        <w:pStyle w:val="Heading2"/>
        <w:pBdr>
          <w:bottom w:val="single" w:color="EDB06B" w:sz="12" w:space="6"/>
        </w:pBdr>
      </w:pPr>
      <w:r>
        <w:t xml:space="preserve">Občianska náuka</w:t>
      </w:r>
    </w:p>
    <w:p>
      <w:pPr>
        <w:pStyle w:val="SkvpPoznamka"/>
      </w:pPr>
      <w:r>
        <w:t xml:space="preserve">Učebná osnova predmetu zatiaľ nie je spracovaná.</w:t>
      </w:r>
    </w:p>
    <w:p>
      <w:pPr>
        <w:pStyle w:val="SkvpOblastMala"/>
        <w:pageBreakBefore/>
      </w:pPr>
      <w:r>
        <w:rPr>
          <w:color w:val="EDB06B"/>
        </w:rPr>
        <w:t xml:space="preserve">Človek a spoločnosť  •  04</w:t>
      </w:r>
    </w:p>
    <w:p>
      <w:pPr>
        <w:pStyle w:val="Heading2"/>
        <w:pBdr>
          <w:bottom w:val="single" w:color="EDB06B" w:sz="12" w:space="6"/>
        </w:pBdr>
      </w:pPr>
      <w:r>
        <w:t xml:space="preserve">Finančná gramotnosť</w:t>
      </w:r>
    </w:p>
    <w:p>
      <w:pPr>
        <w:pStyle w:val="SkvpPoznamka"/>
      </w:pPr>
      <w:r>
        <w:t xml:space="preserve">Učebná osnova predmetu zatiaľ nie je spracovaná.</w:t>
      </w:r>
    </w:p>
    <w:p>
      <w:pPr>
        <w:pStyle w:val="SkvpOblastMala"/>
        <w:pageBreakBefore/>
      </w:pPr>
      <w:r>
        <w:rPr>
          <w:color w:val="EDB06B"/>
        </w:rPr>
        <w:t xml:space="preserve">Človek a spoločnosť  •  05</w:t>
      </w:r>
    </w:p>
    <w:p>
      <w:pPr>
        <w:pStyle w:val="Heading2"/>
        <w:pBdr>
          <w:bottom w:val="single" w:color="EDB06B" w:sz="12" w:space="6"/>
        </w:pBdr>
      </w:pPr>
      <w:r>
        <w:t xml:space="preserve">Seminár z dejepisu</w:t>
      </w:r>
    </w:p>
    <w:p>
      <w:pPr>
        <w:pStyle w:val="SkvpPoznamka"/>
      </w:pPr>
      <w:r>
        <w:t xml:space="preserve">Učebná osnova predmetu zatiaľ nie je spracovaná.</w:t>
      </w:r>
    </w:p>
    <w:p>
      <w:pPr>
        <w:pStyle w:val="SkvpOblastMala"/>
        <w:pageBreakBefore/>
      </w:pPr>
      <w:r>
        <w:rPr>
          <w:color w:val="EDB06B"/>
        </w:rPr>
        <w:t xml:space="preserve">Človek a spoločnosť  •  06</w:t>
      </w:r>
    </w:p>
    <w:p>
      <w:pPr>
        <w:pStyle w:val="Heading2"/>
        <w:pBdr>
          <w:bottom w:val="single" w:color="EDB06B" w:sz="12" w:space="6"/>
        </w:pBdr>
      </w:pPr>
      <w:r>
        <w:t xml:space="preserve">Seminár z geografie</w:t>
      </w:r>
    </w:p>
    <w:p>
      <w:pPr>
        <w:pStyle w:val="SkvpPoznamka"/>
      </w:pPr>
      <w:r>
        <w:t xml:space="preserve">Učebná osnova predmetu zatiaľ nie je spracovaná.</w:t>
      </w:r>
    </w:p>
    <w:p>
      <w:pPr>
        <w:pStyle w:val="SkvpOblastMala"/>
        <w:pageBreakBefore/>
      </w:pPr>
      <w:r>
        <w:rPr>
          <w:color w:val="EDB06B"/>
        </w:rPr>
        <w:t xml:space="preserve">Človek a spoločnosť  •  07</w:t>
      </w:r>
    </w:p>
    <w:p>
      <w:pPr>
        <w:pStyle w:val="Heading2"/>
        <w:pBdr>
          <w:bottom w:val="single" w:color="EDB06B" w:sz="12" w:space="6"/>
        </w:pBdr>
      </w:pPr>
      <w:r>
        <w:t xml:space="preserve">Dejepis pre maturantov</w:t>
      </w:r>
    </w:p>
    <w:p>
      <w:pPr>
        <w:pStyle w:val="SkvpPoznamka"/>
      </w:pPr>
      <w:r>
        <w:t xml:space="preserve">Učebná osnova predmetu zatiaľ nie je spracovaná.</w:t>
      </w:r>
    </w:p>
    <w:p>
      <w:pPr>
        <w:pStyle w:val="SkvpOblastMala"/>
        <w:pageBreakBefore/>
      </w:pPr>
      <w:r>
        <w:rPr>
          <w:color w:val="EDB06B"/>
        </w:rPr>
        <w:t xml:space="preserve">Človek a spoločnosť  •  08</w:t>
      </w:r>
    </w:p>
    <w:p>
      <w:pPr>
        <w:pStyle w:val="Heading2"/>
        <w:pBdr>
          <w:bottom w:val="single" w:color="EDB06B" w:sz="12" w:space="6"/>
        </w:pBdr>
      </w:pPr>
      <w:r>
        <w:t xml:space="preserve">Geografia pre maturantov</w:t>
      </w:r>
    </w:p>
    <w:p>
      <w:pPr>
        <w:pStyle w:val="SkvpPoznamka"/>
      </w:pPr>
      <w:r>
        <w:t xml:space="preserve">Učebná osnova predmetu zatiaľ nie je spracovaná.</w:t>
      </w:r>
    </w:p>
    <w:p>
      <w:pPr>
        <w:pStyle w:val="SkvpOblastMala"/>
        <w:pageBreakBefore/>
      </w:pPr>
      <w:r>
        <w:rPr>
          <w:color w:val="EDB06B"/>
        </w:rPr>
        <w:t xml:space="preserve">Človek a spoločnosť  •  09</w:t>
      </w:r>
    </w:p>
    <w:p>
      <w:pPr>
        <w:pStyle w:val="Heading2"/>
        <w:pBdr>
          <w:bottom w:val="single" w:color="EDB06B" w:sz="12" w:space="6"/>
        </w:pBdr>
      </w:pPr>
      <w:r>
        <w:t xml:space="preserve">Občianska náuka pre maturantov</w:t>
      </w:r>
    </w:p>
    <w:p>
      <w:pPr>
        <w:pStyle w:val="SkvpPoznamka"/>
      </w:pPr>
      <w:r>
        <w:t xml:space="preserve">Učebná osnova predmetu zatiaľ nie je spracovaná.</w:t>
      </w:r>
    </w:p>
    <w:p>
      <w:pPr>
        <w:pStyle w:val="Heading1"/>
        <w:pageBreakBefore/>
        <w:pBdr>
          <w:left w:val="single" w:color="E58FA8" w:sz="48" w:space="12"/>
        </w:pBdr>
        <w:ind w:left="360"/>
      </w:pPr>
      <w:r>
        <w:rPr>
          <w:color w:val="E58FA8"/>
        </w:rPr>
        <w:t xml:space="preserve">Umenie a kultúra</w:t>
      </w:r>
    </w:p>
    <w:p>
      <w:pPr>
        <w:pStyle w:val="SkvpPodnadpisOblasti"/>
        <w:ind w:left="360"/>
      </w:pPr>
      <w:r>
        <w:t xml:space="preserve">Vzdelávacia oblasť  •  1 predmet</w:t>
      </w:r>
    </w:p>
    <w:p>
      <w:pPr>
        <w:pStyle w:val="SkvpZoznamPredmetov"/>
        <w:pBdr>
          <w:bottom w:val="single" w:color="CBD2D9" w:sz="4" w:space="4"/>
        </w:pBdr>
      </w:pPr>
      <w:r>
        <w:rPr>
          <w:b/>
          <w:color w:val="E58FA8"/>
        </w:rPr>
        <w:t xml:space="preserve">01</w:t>
      </w:r>
      <w:r>
        <w:tab/>
      </w:r>
      <w:r>
        <w:t xml:space="preserve">Umenie a kultúra</w:t>
      </w:r>
    </w:p>
    <w:p>
      <w:pPr>
        <w:pStyle w:val="Heading3"/>
        <w:pageBreakBefore/>
      </w:pPr>
      <w:r>
        <w:rPr>
          <w:color w:val="E58FA8"/>
        </w:rPr>
        <w:t xml:space="preserve">Charakteristika vzdelávacej oblasti</w:t>
      </w:r>
    </w:p>
    <w:p>
      <w:pPr/>
      <w:r>
        <w:t xml:space="preserve">Vzdelávacia oblasť Umenie a kultúra rozvíja u žiaka komplexné vnímanie kultúry a umenia v intenciách aktuálnych spoločenských procesov. Podieľa sa na rozvíjaní kultúrneho povedomia a kultúrnej identity žiaka, jeho kritického myslenia vo vzťahu k mediálnej produkcii a k aktuálnym kultúrnym procesom, prehlbuje jeho záujem o kultúru, kultúrne dedičstvo svojho regiónu, národa, štátu a iných kultúr. Prispieva k tomu, aby sa žiak naučil rozlišovať medzi hlavnými kultúrnymi, umeleckými smermi, prúdmi a druhmi, pochopil význam a hodnotu kultúry a umenia v živote človeka a spoločnosti a zaujal vlastný postoj k hodnotám národnej kultúry a kultúry iných národov. Žiaci sa učia verbalizovať, diskutovať a interpretovať, ale tiež umeleckými prostriedkami a médiami vyjadrovať rôznorodé zážitky z vnímania umeleckých diel a kultúry. Hlavným cieľom vzdelávacej oblasti je rozvoj umeleckej, estetickej, vizuálnej, akustickej, jazykovej a pohybovej kultúry žiaka v učebných situáciách, v ktorých žiaci aktívne reflektujú súčasné umenie a kultúru. Využíva pritom skúsenostné metódy postavené na osobnom zážitku, reflexii, aktívnej tvorbe v rámci projektov v oblasti rôznych druhov umení a médií.</w:t>
      </w:r>
    </w:p>
    <w:p>
      <w:pPr/>
      <w:r>
        <w:t xml:space="preserve">Obsah vzdelávacej oblasti sa realizuje prostredníctvom predmetu umenie a kultúra, v nižších ročníkoch gymnázia s osemročným vzdelávacím programom (prima – kvarta) aj prostredníctvom predmetov výtvarná výchova a hudobná výchova. Svojím obsahom a zameraním prispievajú k získaniu relevantných kompetencií u žiakov i prierezové témy mediálna výchova a multikultúrna výchova, ako aj vyučovacie predmety vzdelávacích oblastí Človek a spoločnosť a Zdravie a pohyb.</w:t>
      </w:r>
    </w:p>
    <w:p>
      <w:pPr/>
      <w:r>
        <w:rPr>
          <w:i/>
        </w:rPr>
        <w:t xml:space="preserve">Zdroj: Štátny vzdelávací program pre gymnáziá (úplné stredné všeobecné vzdelávanie), kapitola 4.6 Umenie a kultúra. Štátny pedagogický ústav, schválilo MŠVVaŠ SR 20. 3. 2015 pod č. 2015-7846/10840:1-10B0, v znení dodatkov č. 1 – 5.</w:t>
      </w:r>
    </w:p>
    <w:p>
      <w:pPr>
        <w:pStyle w:val="SkvpOblastMala"/>
        <w:pageBreakBefore/>
      </w:pPr>
      <w:r>
        <w:rPr>
          <w:color w:val="E58FA8"/>
        </w:rPr>
        <w:t xml:space="preserve">Umenie a kultúra  •  01</w:t>
      </w:r>
    </w:p>
    <w:p>
      <w:pPr>
        <w:pStyle w:val="Heading2"/>
        <w:pBdr>
          <w:bottom w:val="single" w:color="E58FA8" w:sz="12" w:space="6"/>
        </w:pBdr>
      </w:pPr>
      <w:r>
        <w:t xml:space="preserve">Umenie a kultúra</w:t>
      </w:r>
    </w:p>
    <w:p>
      <w:pPr>
        <w:pStyle w:val="SkvpPoznamka"/>
      </w:pPr>
      <w:r>
        <w:t xml:space="preserve">Učebná osnova predmetu zatiaľ nie je spracovaná.</w:t>
      </w:r>
    </w:p>
    <w:p>
      <w:pPr>
        <w:pStyle w:val="Heading1"/>
        <w:pageBreakBefore/>
        <w:pBdr>
          <w:left w:val="single" w:color="A592E0" w:sz="48" w:space="12"/>
        </w:pBdr>
        <w:ind w:left="360"/>
      </w:pPr>
      <w:r>
        <w:rPr>
          <w:color w:val="A592E0"/>
        </w:rPr>
        <w:t xml:space="preserve">Človek a hodnoty</w:t>
      </w:r>
    </w:p>
    <w:p>
      <w:pPr>
        <w:pStyle w:val="SkvpPodnadpisOblasti"/>
        <w:ind w:left="360"/>
      </w:pPr>
      <w:r>
        <w:t xml:space="preserve">Vzdelávacia oblasť  •  2 predmety</w:t>
      </w:r>
    </w:p>
    <w:p>
      <w:pPr>
        <w:pStyle w:val="SkvpZoznamPredmetov"/>
        <w:pBdr>
          <w:bottom w:val="single" w:color="CBD2D9" w:sz="4" w:space="4"/>
        </w:pBdr>
      </w:pPr>
      <w:r>
        <w:rPr>
          <w:b/>
          <w:color w:val="A592E0"/>
        </w:rPr>
        <w:t xml:space="preserve">01</w:t>
      </w:r>
      <w:r>
        <w:tab/>
      </w:r>
      <w:r>
        <w:t xml:space="preserve">Etická výchova</w:t>
      </w:r>
    </w:p>
    <w:p>
      <w:pPr>
        <w:pStyle w:val="SkvpZoznamPredmetov"/>
        <w:pBdr>
          <w:bottom w:val="single" w:color="CBD2D9" w:sz="4" w:space="4"/>
        </w:pBdr>
      </w:pPr>
      <w:r>
        <w:rPr>
          <w:b/>
          <w:color w:val="A592E0"/>
        </w:rPr>
        <w:t xml:space="preserve">02</w:t>
      </w:r>
      <w:r>
        <w:tab/>
      </w:r>
      <w:r>
        <w:t xml:space="preserve">Náboženská výchova</w:t>
      </w:r>
    </w:p>
    <w:p>
      <w:pPr>
        <w:pStyle w:val="Heading3"/>
        <w:pageBreakBefore/>
      </w:pPr>
      <w:r>
        <w:rPr>
          <w:color w:val="A592E0"/>
        </w:rPr>
        <w:t xml:space="preserve">Charakteristika vzdelávacej oblasti</w:t>
      </w:r>
    </w:p>
    <w:p>
      <w:pPr/>
      <w:r>
        <w:t xml:space="preserve">Hlavnou úlohou tejto vzdelávacej oblasti je aktívne sa podieľať na formovaní osobnosti žiaka, podporovať pochopenie a interiorizáciu (zvnútornenie) mravných noriem a napomáhať k osvojeniu si správania, ktoré je s nimi v súlade. Vedie žiakov k tomu, aby si vedeli vytvoriť harmonické vzťahy v rôznych sociálnych skupinách – v rodine, na pracovisku, v spoločnosti.</w:t>
      </w:r>
    </w:p>
    <w:p>
      <w:pPr/>
      <w:r>
        <w:t xml:space="preserve">Obsah vzdelávacej oblasti sa realizuje prostredníctvom povinne voliteľných vyučovacích predmetov etická výchova alebo náboženská výchova/náboženstvo. Predmet etická výchova sa v prvom rade zameriava na výchovu k prosociálnosti, ktorá sa odráža v morálnych postojoch a v regulácii správania žiakov. Cieľom predmetu náboženská výchova/náboženstvo je motivovať žiaka k viere, osobnému náboženskému životu a k zodpovednému konaniu v cirkvi a v spoločnosti.</w:t>
      </w:r>
    </w:p>
    <w:p>
      <w:pPr/>
      <w:r>
        <w:rPr>
          <w:i/>
        </w:rPr>
        <w:t xml:space="preserve">Zdroj: Štátny vzdelávací program pre gymnáziá (úplné stredné všeobecné vzdelávanie), kapitola 4.5 Človek a hodnoty. Štátny pedagogický ústav, schválilo MŠVVaŠ SR 20. 3. 2015 pod č. 2015-7846/10840:1-10B0, v znení dodatkov č. 1 – 5.</w:t>
      </w:r>
    </w:p>
    <w:p>
      <w:pPr>
        <w:pStyle w:val="SkvpOblastMala"/>
        <w:pageBreakBefore/>
      </w:pPr>
      <w:r>
        <w:rPr>
          <w:color w:val="A592E0"/>
        </w:rPr>
        <w:t xml:space="preserve">Človek a hodnoty  •  01</w:t>
      </w:r>
    </w:p>
    <w:p>
      <w:pPr>
        <w:pStyle w:val="Heading2"/>
        <w:pBdr>
          <w:bottom w:val="single" w:color="A592E0" w:sz="12" w:space="6"/>
        </w:pBdr>
      </w:pPr>
      <w:r>
        <w:t xml:space="preserve">Etická výchova</w:t>
      </w:r>
    </w:p>
    <w:p>
      <w:pPr>
        <w:pStyle w:val="SkvpPoznamka"/>
      </w:pPr>
      <w:r>
        <w:t xml:space="preserve">Učebná osnova predmetu zatiaľ nie je spracovaná.</w:t>
      </w:r>
    </w:p>
    <w:p>
      <w:pPr>
        <w:pStyle w:val="SkvpOblastMala"/>
        <w:pageBreakBefore/>
      </w:pPr>
      <w:r>
        <w:rPr>
          <w:color w:val="A592E0"/>
        </w:rPr>
        <w:t xml:space="preserve">Človek a hodnoty  •  02</w:t>
      </w:r>
    </w:p>
    <w:p>
      <w:pPr>
        <w:pStyle w:val="Heading2"/>
        <w:pBdr>
          <w:bottom w:val="single" w:color="A592E0" w:sz="12" w:space="6"/>
        </w:pBdr>
      </w:pPr>
      <w:r>
        <w:t xml:space="preserve">Náboženská výchova</w:t>
      </w:r>
    </w:p>
    <w:p>
      <w:pPr>
        <w:pStyle w:val="SkvpPoznamka"/>
      </w:pPr>
      <w:r>
        <w:t xml:space="preserve">Učebná osnova predmetu zatiaľ nie je spracovaná.</w:t>
      </w:r>
    </w:p>
    <w:p>
      <w:pPr>
        <w:pStyle w:val="Heading1"/>
        <w:pageBreakBefore/>
        <w:pBdr>
          <w:left w:val="single" w:color="EE9A7A" w:sz="48" w:space="12"/>
        </w:pBdr>
        <w:ind w:left="360"/>
      </w:pPr>
      <w:r>
        <w:rPr>
          <w:color w:val="EE9A7A"/>
        </w:rPr>
        <w:t xml:space="preserve">Zdravie a pohyb</w:t>
      </w:r>
    </w:p>
    <w:p>
      <w:pPr>
        <w:pStyle w:val="SkvpPodnadpisOblasti"/>
        <w:ind w:left="360"/>
      </w:pPr>
      <w:r>
        <w:t xml:space="preserve">Vzdelávacia oblasť  •  4 predmety</w:t>
      </w:r>
    </w:p>
    <w:p>
      <w:pPr>
        <w:pStyle w:val="SkvpZoznamPredmetov"/>
        <w:pBdr>
          <w:bottom w:val="single" w:color="CBD2D9" w:sz="4" w:space="4"/>
        </w:pBdr>
      </w:pPr>
      <w:r>
        <w:rPr>
          <w:b/>
          <w:color w:val="EE9A7A"/>
        </w:rPr>
        <w:t xml:space="preserve">01</w:t>
      </w:r>
      <w:r>
        <w:tab/>
      </w:r>
      <w:r>
        <w:t xml:space="preserve">Telesná a športová výchova</w:t>
      </w:r>
    </w:p>
    <w:p>
      <w:pPr>
        <w:pStyle w:val="SkvpZoznamPredmetov"/>
        <w:pBdr>
          <w:bottom w:val="single" w:color="CBD2D9" w:sz="4" w:space="4"/>
        </w:pBdr>
      </w:pPr>
      <w:r>
        <w:rPr>
          <w:b/>
          <w:color w:val="EE9A7A"/>
        </w:rPr>
        <w:t xml:space="preserve">02</w:t>
      </w:r>
      <w:r>
        <w:tab/>
      </w:r>
      <w:r>
        <w:t xml:space="preserve">Športová príprava</w:t>
      </w:r>
    </w:p>
    <w:p>
      <w:pPr>
        <w:pStyle w:val="SkvpZoznamPredmetov"/>
        <w:pBdr>
          <w:bottom w:val="single" w:color="CBD2D9" w:sz="4" w:space="4"/>
        </w:pBdr>
      </w:pPr>
      <w:r>
        <w:rPr>
          <w:b/>
          <w:color w:val="EE9A7A"/>
        </w:rPr>
        <w:t xml:space="preserve">03</w:t>
      </w:r>
      <w:r>
        <w:tab/>
      </w:r>
      <w:r>
        <w:t xml:space="preserve">Základy športovej prípravy</w:t>
      </w:r>
    </w:p>
    <w:p>
      <w:pPr>
        <w:pStyle w:val="SkvpZoznamPredmetov"/>
        <w:pBdr>
          <w:bottom w:val="single" w:color="CBD2D9" w:sz="4" w:space="4"/>
        </w:pBdr>
      </w:pPr>
      <w:r>
        <w:rPr>
          <w:b/>
          <w:color w:val="EE9A7A"/>
        </w:rPr>
        <w:t xml:space="preserve">04</w:t>
      </w:r>
      <w:r>
        <w:tab/>
      </w:r>
      <w:r>
        <w:t xml:space="preserve">Športová príprava pre maturantov</w:t>
      </w:r>
    </w:p>
    <w:p>
      <w:pPr>
        <w:pStyle w:val="Heading3"/>
        <w:pageBreakBefore/>
      </w:pPr>
      <w:r>
        <w:rPr>
          <w:color w:val="EE9A7A"/>
        </w:rPr>
        <w:t xml:space="preserve">Charakteristika vzdelávacej oblasti</w:t>
      </w:r>
    </w:p>
    <w:p>
      <w:pPr/>
      <w:r>
        <w:t xml:space="preserve">Vzdelávacia oblasť Zdravie a pohyb je zameraná na uvedomenie si potreby celoživotnej starostlivosti o svoje zdravie, osvojenie si teoretických vedomostí a praktických zručností súvisiacich so zdravým životným štýlom a pohybovou aktivitou. Oblasť sa realizuje vyučovacím predmetom telesná a športová výchova, ktorej najdôležitejším poslaním je vytváranie vzťahu k pravidelnej pohybovej aktivite ako k nevyhnutnému základu zdravého životného štýlu. Žiaci si vytvoria predstavu o význame pohybovej a športovej aktivity, spoznajú účinok vykonávaných cvičení na organizmus a možnosti upevňovania svojho zdravia. V rámci športových aktivít si osvoja a zdokonalia športové zručnosti a získajú vedomosti o rôznych športových odvetviach ako i organizácii športových súťaží.</w:t>
      </w:r>
    </w:p>
    <w:p>
      <w:pPr/>
      <w:r>
        <w:t xml:space="preserve">Pri realizovaní obsahu telesnej a športovej výchovy je dôležité rešpektovať individuálne dispozície žiakov, ktoré by mali byť zohľadnené pri plánovaní cvičení, ako i pri hodnotení žiakov. Významnou súčasťou je motivácia žiakov k dosiahnutiu individuálnych zlepšení vo svojej pohybovej výkonnosti pri akceptovaní ich vlastných predpokladov.</w:t>
      </w:r>
    </w:p>
    <w:p>
      <w:pPr/>
      <w:r>
        <w:rPr>
          <w:i/>
        </w:rPr>
        <w:t xml:space="preserve">Zdroj: Štátny vzdelávací program pre gymnáziá (úplné stredné všeobecné vzdelávanie), kapitola 4.7 Zdravie a pohyb. Štátny pedagogický ústav, schválilo MŠVVaŠ SR 20. 3. 2015 pod č. 2015-7846/10840:1-10B0, v znení dodatkov č. 1 – 5.</w:t>
      </w:r>
    </w:p>
    <w:p>
      <w:pPr>
        <w:pStyle w:val="SkvpOblastMala"/>
        <w:pageBreakBefore/>
      </w:pPr>
      <w:r>
        <w:rPr>
          <w:color w:val="EE9A7A"/>
        </w:rPr>
        <w:t xml:space="preserve">Zdravie a pohyb  •  01</w:t>
      </w:r>
    </w:p>
    <w:p>
      <w:pPr>
        <w:pStyle w:val="Heading2"/>
        <w:pBdr>
          <w:bottom w:val="single" w:color="EE9A7A" w:sz="12" w:space="6"/>
        </w:pBdr>
      </w:pPr>
      <w:r>
        <w:t xml:space="preserve">Telesná a športová výchova</w:t>
      </w:r>
    </w:p>
    <w:p>
      <w:pPr>
        <w:pStyle w:val="SkvpPoznamka"/>
      </w:pPr>
      <w:r>
        <w:t xml:space="preserve">Učebná osnova predmetu zatiaľ nie je spracovaná.</w:t>
      </w:r>
    </w:p>
    <w:p>
      <w:pPr>
        <w:pStyle w:val="SkvpOblastMala"/>
        <w:pageBreakBefore/>
      </w:pPr>
      <w:r>
        <w:rPr>
          <w:color w:val="EE9A7A"/>
        </w:rPr>
        <w:t xml:space="preserve">Zdravie a pohyb  •  02</w:t>
      </w:r>
    </w:p>
    <w:p>
      <w:pPr>
        <w:pStyle w:val="Heading2"/>
        <w:pBdr>
          <w:bottom w:val="single" w:color="EE9A7A" w:sz="12" w:space="6"/>
        </w:pBdr>
      </w:pPr>
      <w:r>
        <w:t xml:space="preserve">Športová príprava</w:t>
      </w:r>
    </w:p>
    <w:p>
      <w:pPr>
        <w:pStyle w:val="SkvpPoznamka"/>
      </w:pPr>
      <w:r>
        <w:t xml:space="preserve">Učebná osnova predmetu zatiaľ nie je spracovaná.</w:t>
      </w:r>
    </w:p>
    <w:p>
      <w:pPr>
        <w:pStyle w:val="SkvpOblastMala"/>
        <w:pageBreakBefore/>
      </w:pPr>
      <w:r>
        <w:rPr>
          <w:color w:val="EE9A7A"/>
        </w:rPr>
        <w:t xml:space="preserve">Zdravie a pohyb  •  03</w:t>
      </w:r>
    </w:p>
    <w:p>
      <w:pPr>
        <w:pStyle w:val="Heading2"/>
        <w:pBdr>
          <w:bottom w:val="single" w:color="EE9A7A" w:sz="12" w:space="6"/>
        </w:pBdr>
      </w:pPr>
      <w:r>
        <w:t xml:space="preserve">Základy športovej prípravy</w:t>
      </w:r>
    </w:p>
    <w:p>
      <w:pPr>
        <w:pStyle w:val="SkvpPoznamka"/>
      </w:pPr>
      <w:r>
        <w:t xml:space="preserve">Učebná osnova predmetu zatiaľ nie je spracovaná.</w:t>
      </w:r>
    </w:p>
    <w:p>
      <w:pPr>
        <w:pStyle w:val="SkvpOblastMala"/>
        <w:pageBreakBefore/>
      </w:pPr>
      <w:r>
        <w:rPr>
          <w:color w:val="EE9A7A"/>
        </w:rPr>
        <w:t xml:space="preserve">Zdravie a pohyb  •  04</w:t>
      </w:r>
    </w:p>
    <w:p>
      <w:pPr>
        <w:pStyle w:val="Heading2"/>
        <w:pBdr>
          <w:bottom w:val="single" w:color="EE9A7A" w:sz="12" w:space="6"/>
        </w:pBdr>
      </w:pPr>
      <w:r>
        <w:t xml:space="preserve">Športová príprava pre maturantov</w:t>
      </w:r>
    </w:p>
    <w:p>
      <w:pPr>
        <w:pStyle w:val="SkvpPoznamka"/>
      </w:pPr>
      <w:r>
        <w:t xml:space="preserve">Učebná osnova predmetu zatiaľ nie je spracovaná.</w:t>
      </w:r>
    </w:p>
    <w:sectPr>
      <w:headerReference xmlns:r="http://schemas.openxmlformats.org/officeDocument/2006/relationships" w:type="default" r:id="R24ac002e2045449c"/>
      <w:footerReference xmlns:r="http://schemas.openxmlformats.org/officeDocument/2006/relationships" w:type="default" r:id="R10d7461296414d8c"/>
      <w:pgSz w:w="11906" w:h="16838"/>
      <w:pgMar w:top="1474" w:right="1247" w:bottom="1361" w:left="1361" w:header="680" w:footer="624" w:gutter="0"/>
      <w:titlePg/>
    </w:sectPr>
  </w:body>
</w:document>
</file>

<file path=word/footer1.xml><?xml version="1.0" encoding="utf-8"?>
<w:ftr xmlns:w="http://schemas.openxmlformats.org/wordprocessingml/2006/main">
  <w:p>
    <w:pPr>
      <w:pStyle w:val="Footer"/>
      <w:tabs>
        <w:tab w:val="right" w:pos="9298"/>
      </w:tabs>
      <w:jc w:val="left"/>
    </w:pPr>
    <w:r>
      <w:t xml:space="preserve">Spojená škola Vzorová – Gymnázium</w:t>
    </w:r>
    <w:r>
      <w:tab/>
    </w:r>
    <w:r>
      <w:t xml:space="preserve">Strana </w:t>
    </w:r>
    <w:r>
      <w:fldChar w:fldCharType="begin"/>
    </w:r>
    <w:r>
      <w:instrText xml:space="preserve"> PAGE </w:instrText>
    </w:r>
    <w:r>
      <w:fldChar w:fldCharType="separate"/>
    </w:r>
    <w:r>
      <w:t>1</w:t>
    </w:r>
    <w:r>
      <w:fldChar w:fldCharType="end"/>
    </w:r>
    <w:r>
      <w:t xml:space="preserve"> z </w:t>
    </w:r>
    <w:r>
      <w:fldChar w:fldCharType="begin"/>
    </w:r>
    <w:r>
      <w:instrText xml:space="preserve"> NUMPAGES </w:instrText>
    </w:r>
    <w:r>
      <w:fldChar w:fldCharType="separate"/>
    </w:r>
    <w:r>
      <w:t>1</w:t>
    </w:r>
    <w:r>
      <w:fldChar w:fldCharType="end"/>
    </w:r>
  </w:p>
</w:ftr>
</file>

<file path=word/header1.xml><?xml version="1.0" encoding="utf-8"?>
<w:hdr xmlns:w="http://schemas.openxmlformats.org/wordprocessingml/2006/main">
  <w:tbl>
    <w:tblPr>
      <w:tblW w:w="9298" w:type="dxa"/>
      <w:tblBorders>
        <w:top w:val="none"/>
        <w:left w:val="none"/>
        <w:bottom w:val="single" w:color="CBD2D9" w:sz="4" w:space="0"/>
        <w:right w:val="none"/>
        <w:insideH w:val="none"/>
        <w:insideV w:val="none"/>
      </w:tblBorders>
      <w:tblLayout w:type="fixed"/>
      <w:tblCellMar>
        <w:top w:w="0" w:type="dxa"/>
        <w:left w:w="0" w:type="dxa"/>
        <w:bottom w:w="60" w:type="dxa"/>
        <w:right w:w="0" w:type="dxa"/>
      </w:tblCellMar>
    </w:tblPr>
    <w:tblGrid>
      <w:gridCol w:w="5113"/>
      <w:gridCol w:w="4185"/>
    </w:tblGrid>
    <w:tr>
      <w:tc>
        <w:tcPr>
          <w:tcW w:w="5113" w:type="dxa"/>
          <w:vAlign w:val="center"/>
        </w:tcPr>
        <w:p>
          <w:pPr>
            <w:pStyle w:val="Header"/>
            <w:jc w:val="left"/>
          </w:pPr>
          <w:r>
            <w:t xml:space="preserve">Školský vzdelávací program – Učebné osnovy</w:t>
          </w:r>
        </w:p>
      </w:tc>
      <w:tc>
        <w:tcPr>
          <w:tcW w:w="4185" w:type="dxa"/>
          <w:vAlign w:val="center"/>
        </w:tcPr>
        <w:p>
          <w:pPr>
            <w:pStyle w:val="Header"/>
            <w:jc w:val="right"/>
          </w:pPr>
          <w:r>
            <w:t xml:space="preserve">Spojená škola Vzorová – Gymnázium</w:t>
          </w:r>
        </w:p>
      </w:tc>
    </w:tr>
  </w:tbl>
  <w:p>
    <w:pPr>
      <w:pStyle w:val="Header"/>
      <w:spacing w:before="0" w:after="0" w:line="20" w:lineRule="exact"/>
    </w:pPr>
  </w:p>
</w:hdr>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720" w:hanging="300"/>
      </w:pPr>
    </w:lvl>
    <w:lvl w:ilvl="1">
      <w:start w:val="1"/>
      <w:numFmt w:val="bullet"/>
      <w:lvlText w:val="◦"/>
      <w:lvlJc w:val="left"/>
      <w:pPr>
        <w:ind w:left="1080" w:hanging="300"/>
      </w:pPr>
    </w:lvl>
    <w:lvl w:ilvl="2">
      <w:start w:val="1"/>
      <w:numFmt w:val="bullet"/>
      <w:lvlText w:val="▪"/>
      <w:lvlJc w:val="left"/>
      <w:pPr>
        <w:ind w:left="1440" w:hanging="300"/>
      </w:pPr>
    </w:lvl>
  </w:abstractNum>
  <w:abstractNum w:abstractNumId="2">
    <w:multiLevelType w:val="hybridMultilevel"/>
    <w:lvl w:ilvl="0">
      <w:start w:val="1"/>
      <w:numFmt w:val="decimal"/>
      <w:lvlText w:val="%1."/>
      <w:lvlJc w:val="left"/>
      <w:pPr>
        <w:ind w:left="720" w:hanging="300"/>
      </w:pPr>
    </w:lvl>
    <w:lvl w:ilvl="1">
      <w:start w:val="1"/>
      <w:numFmt w:val="lowerLetter"/>
      <w:lvlText w:val="%2)"/>
      <w:lvlJc w:val="left"/>
      <w:pPr>
        <w:ind w:left="1080" w:hanging="300"/>
      </w:pPr>
    </w:lvl>
    <w:lvl w:ilvl="2">
      <w:start w:val="1"/>
      <w:numFmt w:val="decimal"/>
      <w:lvlText w:val="%3."/>
      <w:lvlJc w:val="left"/>
      <w:pPr>
        <w:ind w:left="1440" w:hanging="300"/>
      </w:pPr>
    </w:lvl>
  </w:abstractNum>
  <w:num w:numId="10">
    <w:abstractNumId w:val="1"/>
  </w:num>
  <w:num w:numId="11">
    <w:abstractNumId w:val="2"/>
    <w:lvlOverride w:ilvl="0">
      <w:startOverride w:val="1"/>
    </w:lvlOverride>
  </w:num>
  <w:num w:numId="12">
    <w:abstractNumId w:val="1"/>
  </w:num>
  <w:num w:numId="13">
    <w:abstractNumId w:val="2"/>
    <w:lvlOverride w:ilvl="0">
      <w:startOverride w:val="1"/>
    </w:lvlOverride>
  </w:num>
</w:numbering>
</file>

<file path=word/settings.xml><?xml version="1.0" encoding="utf-8"?>
<w:settings xmlns:w="http://schemas.openxmlformats.org/wordprocessingml/2006/main">
  <w:defaultTabStop w:val="709"/>
  <w:updateFields w:val="true"/>
  <w:compat>
    <w:compatSetting w:name="compatibilityMode" w:uri="http://schemas.microsoft.com/office/word" w:val="15"/>
  </w:compat>
</w:settings>
</file>

<file path=word/styles.xml><?xml version="1.0" encoding="utf-8"?>
<w:styles xmlns:w="http://schemas.openxmlformats.org/wordprocessingml/2006/main">
  <w:docDefaults>
    <w:rPrDefault>
      <w:rPr>
        <w:rFonts w:ascii="Constantia" w:hAnsi="Constantia" w:eastAsia="Constantia" w:cs="Constantia"/>
        <w:sz w:val="22"/>
        <w:lang w:val="sk-SK"/>
      </w:rPr>
    </w:rPrDefault>
    <w:pPrDefault>
      <w:pPr>
        <w:spacing w:after="100"/>
      </w:pPr>
    </w:pPrDefault>
  </w:docDefaults>
  <w:style w:type="paragraph" w:styleId="Normal" w:default="true">
    <w:name w:val="Normal"/>
    <w:qFormat/>
    <w:pPr>
      <w:spacing w:after="100" w:line="283" w:lineRule="auto"/>
    </w:pPr>
    <w:rPr>
      <w:rFonts w:ascii="Constantia" w:hAnsi="Constantia" w:eastAsia="Constantia" w:cs="Constantia"/>
      <w:color w:val="1F2933"/>
      <w:sz w:val="22"/>
    </w:rPr>
  </w:style>
  <w:style w:type="paragraph" w:styleId="Title">
    <w:name w:val="Title"/>
    <w:basedOn w:val="Normal"/>
    <w:next w:val="Normal"/>
    <w:qFormat/>
    <w:pPr>
      <w:spacing w:before="3400" w:after="200"/>
    </w:pPr>
    <w:rPr>
      <w:rFonts w:ascii="Segoe UI" w:hAnsi="Segoe UI" w:eastAsia="Segoe UI" w:cs="Segoe UI"/>
      <w:b/>
      <w:color w:val="1F2933"/>
      <w:sz w:val="68"/>
    </w:rPr>
  </w:style>
  <w:style w:type="paragraph" w:styleId="Subtitle">
    <w:name w:val="Subtitle"/>
    <w:basedOn w:val="Normal"/>
    <w:next w:val="Normal"/>
    <w:qFormat/>
    <w:pPr>
      <w:spacing w:before="0" w:after="520"/>
    </w:pPr>
    <w:rPr>
      <w:rFonts w:ascii="Constantia" w:hAnsi="Constantia" w:eastAsia="Constantia" w:cs="Constantia"/>
      <w:i/>
      <w:color w:val="3B5BDB"/>
      <w:sz w:val="48"/>
    </w:rPr>
  </w:style>
  <w:style w:type="paragraph" w:styleId="Heading1">
    <w:name w:val="heading 1"/>
    <w:basedOn w:val="Normal"/>
    <w:next w:val="Normal"/>
    <w:qFormat/>
    <w:pPr>
      <w:keepNext/>
      <w:spacing w:before="2800" w:after="200"/>
      <w:outlineLvl w:val="0"/>
    </w:pPr>
    <w:rPr>
      <w:rFonts w:ascii="Segoe UI" w:hAnsi="Segoe UI" w:eastAsia="Segoe UI" w:cs="Segoe UI"/>
      <w:b/>
      <w:color w:val="1F2933"/>
      <w:sz w:val="52"/>
    </w:rPr>
  </w:style>
  <w:style w:type="paragraph" w:styleId="Heading2">
    <w:name w:val="heading 2"/>
    <w:basedOn w:val="Normal"/>
    <w:next w:val="Normal"/>
    <w:qFormat/>
    <w:pPr>
      <w:keepNext/>
      <w:spacing w:before="0" w:after="280"/>
      <w:outlineLvl w:val="1"/>
    </w:pPr>
    <w:rPr>
      <w:rFonts w:ascii="Segoe UI" w:hAnsi="Segoe UI" w:eastAsia="Segoe UI" w:cs="Segoe UI"/>
      <w:b/>
      <w:color w:val="1F2933"/>
      <w:sz w:val="38"/>
    </w:rPr>
  </w:style>
  <w:style w:type="paragraph" w:styleId="Heading3">
    <w:name w:val="heading 3"/>
    <w:basedOn w:val="Normal"/>
    <w:next w:val="Normal"/>
    <w:qFormat/>
    <w:pPr>
      <w:keepNext/>
      <w:spacing w:before="280" w:after="100"/>
      <w:outlineLvl w:val="2"/>
    </w:pPr>
    <w:rPr>
      <w:rFonts w:ascii="Segoe UI" w:hAnsi="Segoe UI" w:eastAsia="Segoe UI" w:cs="Segoe UI"/>
      <w:b/>
      <w:color w:val="1F2933"/>
      <w:sz w:val="26"/>
    </w:rPr>
  </w:style>
  <w:style w:type="paragraph" w:styleId="Heading4">
    <w:name w:val="heading 4"/>
    <w:basedOn w:val="Normal"/>
    <w:next w:val="Normal"/>
    <w:qFormat/>
    <w:pPr>
      <w:keepNext/>
      <w:spacing w:before="200" w:after="80"/>
      <w:outlineLvl w:val="3"/>
    </w:pPr>
    <w:rPr>
      <w:rFonts w:ascii="Segoe UI" w:hAnsi="Segoe UI" w:eastAsia="Segoe UI" w:cs="Segoe UI"/>
      <w:b/>
      <w:color w:val="1F2933"/>
      <w:sz w:val="23"/>
    </w:rPr>
  </w:style>
  <w:style w:type="paragraph" w:styleId="Heading5">
    <w:name w:val="heading 5"/>
    <w:basedOn w:val="Normal"/>
    <w:next w:val="Normal"/>
    <w:qFormat/>
    <w:pPr>
      <w:keepNext/>
      <w:spacing w:before="160" w:after="60"/>
      <w:outlineLvl w:val="4"/>
    </w:pPr>
    <w:rPr>
      <w:rFonts w:ascii="Segoe UI" w:hAnsi="Segoe UI" w:eastAsia="Segoe UI" w:cs="Segoe UI"/>
      <w:i/>
      <w:color w:val="1F2933"/>
      <w:sz w:val="22"/>
    </w:rPr>
  </w:style>
  <w:style w:type="paragraph" w:styleId="ListParagraph">
    <w:name w:val="List Paragraph"/>
    <w:basedOn w:val="Normal"/>
    <w:next w:val="Normal"/>
    <w:qFormat/>
    <w:pPr>
      <w:spacing w:before="0" w:after="50"/>
    </w:pPr>
    <w:rPr>
      <w:rFonts w:ascii="Constantia" w:hAnsi="Constantia" w:eastAsia="Constantia" w:cs="Constantia"/>
      <w:color w:val="1F2933"/>
      <w:sz w:val="22"/>
    </w:rPr>
  </w:style>
  <w:style w:type="paragraph" w:styleId="Header">
    <w:name w:val="header"/>
    <w:basedOn w:val="Normal"/>
    <w:next w:val="Normal"/>
    <w:qFormat/>
    <w:pPr>
      <w:spacing w:before="0" w:after="0"/>
    </w:pPr>
    <w:rPr>
      <w:rFonts w:ascii="Segoe UI" w:hAnsi="Segoe UI" w:eastAsia="Segoe UI" w:cs="Segoe UI"/>
      <w:color w:val="6B7280"/>
      <w:sz w:val="17"/>
    </w:rPr>
  </w:style>
  <w:style w:type="paragraph" w:styleId="Footer">
    <w:name w:val="footer"/>
    <w:basedOn w:val="Normal"/>
    <w:next w:val="Normal"/>
    <w:qFormat/>
    <w:pPr>
      <w:spacing w:before="0" w:after="0"/>
    </w:pPr>
    <w:rPr>
      <w:rFonts w:ascii="Segoe UI" w:hAnsi="Segoe UI" w:eastAsia="Segoe UI" w:cs="Segoe UI"/>
      <w:color w:val="6B7280"/>
      <w:sz w:val="17"/>
    </w:rPr>
  </w:style>
  <w:style w:type="paragraph" w:styleId="SkvpSkola">
    <w:name w:val="SkVP – škola"/>
    <w:basedOn w:val="Normal"/>
    <w:next w:val="Normal"/>
    <w:qFormat/>
    <w:pPr>
      <w:spacing w:before="360" w:after="20"/>
    </w:pPr>
    <w:rPr>
      <w:rFonts w:ascii="Segoe UI" w:hAnsi="Segoe UI" w:eastAsia="Segoe UI" w:cs="Segoe UI"/>
      <w:b/>
      <w:color w:val="1F2933"/>
      <w:sz w:val="26"/>
    </w:rPr>
  </w:style>
  <w:style w:type="paragraph" w:styleId="SkvpAdresa">
    <w:name w:val="SkVP – adresa"/>
    <w:basedOn w:val="Normal"/>
    <w:next w:val="Normal"/>
    <w:qFormat/>
    <w:pPr>
      <w:spacing w:before="0" w:after="0"/>
    </w:pPr>
    <w:rPr>
      <w:rFonts w:ascii="Segoe UI" w:hAnsi="Segoe UI" w:eastAsia="Segoe UI" w:cs="Segoe UI"/>
      <w:color w:val="6B7280"/>
      <w:sz w:val="20"/>
    </w:rPr>
  </w:style>
  <w:style w:type="paragraph" w:styleId="SkvpTitulUdaj">
    <w:name w:val="SkVP – údaj titulnej strany"/>
    <w:basedOn w:val="Normal"/>
    <w:next w:val="Normal"/>
    <w:qFormat/>
    <w:pPr>
      <w:spacing w:before="0" w:after="60"/>
    </w:pPr>
    <w:rPr>
      <w:rFonts w:ascii="Segoe UI" w:hAnsi="Segoe UI" w:eastAsia="Segoe UI" w:cs="Segoe UI"/>
      <w:color w:val="1F2933"/>
      <w:sz w:val="24"/>
    </w:rPr>
  </w:style>
  <w:style w:type="paragraph" w:styleId="SkvpTitulOblast">
    <w:name w:val="SkVP – oblasť na titulnej strane"/>
    <w:basedOn w:val="Normal"/>
    <w:next w:val="Normal"/>
    <w:qFormat/>
    <w:pPr>
      <w:spacing w:before="0" w:after="40"/>
    </w:pPr>
    <w:rPr>
      <w:rFonts w:ascii="Segoe UI" w:hAnsi="Segoe UI" w:eastAsia="Segoe UI" w:cs="Segoe UI"/>
      <w:color w:val="1F2933"/>
      <w:sz w:val="20"/>
    </w:rPr>
  </w:style>
  <w:style w:type="paragraph" w:styleId="SkvpNadpisObsahu">
    <w:name w:val="SkVP – nadpis obsahu"/>
    <w:basedOn w:val="Normal"/>
    <w:next w:val="Normal"/>
    <w:qFormat/>
    <w:pPr>
      <w:spacing w:before="0" w:after="280"/>
    </w:pPr>
    <w:rPr>
      <w:rFonts w:ascii="Segoe UI" w:hAnsi="Segoe UI" w:eastAsia="Segoe UI" w:cs="Segoe UI"/>
      <w:b/>
      <w:color w:val="1F2933"/>
      <w:sz w:val="48"/>
    </w:rPr>
  </w:style>
  <w:style w:type="paragraph" w:styleId="SkvpPodnadpisOblasti">
    <w:name w:val="SkVP – podnadpis oblasti"/>
    <w:basedOn w:val="Normal"/>
    <w:next w:val="Normal"/>
    <w:qFormat/>
    <w:pPr>
      <w:spacing w:before="0" w:after="440"/>
    </w:pPr>
    <w:rPr>
      <w:rFonts w:ascii="Segoe UI" w:hAnsi="Segoe UI" w:eastAsia="Segoe UI" w:cs="Segoe UI"/>
      <w:color w:val="6B7280"/>
      <w:sz w:val="20"/>
    </w:rPr>
  </w:style>
  <w:style w:type="paragraph" w:styleId="SkvpOblastMala">
    <w:name w:val="SkVP – oblasť nad predmetom"/>
    <w:basedOn w:val="Normal"/>
    <w:next w:val="Normal"/>
    <w:qFormat/>
    <w:pPr>
      <w:spacing w:before="0" w:after="40"/>
    </w:pPr>
    <w:rPr>
      <w:rFonts w:ascii="Segoe UI" w:hAnsi="Segoe UI" w:eastAsia="Segoe UI" w:cs="Segoe UI"/>
      <w:b/>
      <w:color w:val="1F2933"/>
      <w:sz w:val="19"/>
    </w:rPr>
  </w:style>
  <w:style w:type="paragraph" w:styleId="SkvpPoznamka">
    <w:name w:val="SkVP – poznámka"/>
    <w:basedOn w:val="Normal"/>
    <w:next w:val="Normal"/>
    <w:qFormat/>
    <w:pPr/>
    <w:rPr>
      <w:rFonts w:ascii="Constantia" w:hAnsi="Constantia" w:eastAsia="Constantia" w:cs="Constantia"/>
      <w:i/>
      <w:color w:val="6B7280"/>
      <w:sz w:val="22"/>
    </w:rPr>
  </w:style>
  <w:style w:type="paragraph" w:styleId="SkvpTabulka">
    <w:name w:val="SkVP – text v tabuľke"/>
    <w:basedOn w:val="Normal"/>
    <w:next w:val="Normal"/>
    <w:qFormat/>
    <w:pPr>
      <w:spacing w:before="0" w:after="40"/>
    </w:pPr>
    <w:rPr>
      <w:rFonts w:ascii="Constantia" w:hAnsi="Constantia" w:eastAsia="Constantia" w:cs="Constantia"/>
      <w:color w:val="1F2933"/>
      <w:sz w:val="20"/>
    </w:rPr>
  </w:style>
  <w:style w:type="paragraph" w:styleId="SkvpZoznamPredmetov">
    <w:name w:val="SkVP – predmet v zozname oblasti"/>
    <w:basedOn w:val="Normal"/>
    <w:next w:val="Normal"/>
    <w:qFormat/>
    <w:pPr>
      <w:tabs>
        <w:tab w:val="left" w:pos="851"/>
      </w:tabs>
      <w:spacing w:before="80" w:after="80"/>
    </w:pPr>
    <w:rPr>
      <w:rFonts w:ascii="Constantia" w:hAnsi="Constantia" w:eastAsia="Constantia" w:cs="Constantia"/>
      <w:color w:val="1F2933"/>
      <w:sz w:val="25"/>
    </w:rPr>
  </w:style>
  <w:style w:type="paragraph" w:styleId="SkvpOddelovacCislo">
    <w:name w:val="SkVP – číslo na oddeľujúcej strane"/>
    <w:basedOn w:val="Normal"/>
    <w:next w:val="Normal"/>
    <w:qFormat/>
    <w:pPr>
      <w:spacing w:before="3600" w:after="60"/>
    </w:pPr>
    <w:rPr>
      <w:rFonts w:ascii="Segoe UI" w:hAnsi="Segoe UI" w:eastAsia="Segoe UI" w:cs="Segoe UI"/>
      <w:b/>
      <w:color w:val="1F2933"/>
      <w:sz w:val="144"/>
    </w:rPr>
  </w:style>
  <w:style w:type="paragraph" w:styleId="SkvpOddelovacNazov">
    <w:name w:val="SkVP – predmet na oddeľujúcej strane"/>
    <w:basedOn w:val="Normal"/>
    <w:next w:val="Normal"/>
    <w:qFormat/>
    <w:pPr>
      <w:spacing w:before="0" w:after="200"/>
    </w:pPr>
    <w:rPr>
      <w:rFonts w:ascii="Segoe UI" w:hAnsi="Segoe UI" w:eastAsia="Segoe UI" w:cs="Segoe UI"/>
      <w:b/>
      <w:color w:val="1F2933"/>
      <w:sz w:val="60"/>
    </w:rPr>
  </w:style>
  <w:style w:type="paragraph" w:styleId="TOC1">
    <w:name w:val="toc 1"/>
    <w:basedOn w:val="Normal"/>
    <w:next w:val="Normal"/>
    <w:qFormat/>
    <w:pPr>
      <w:spacing w:before="180" w:after="40"/>
    </w:pPr>
    <w:rPr>
      <w:rFonts w:ascii="Segoe UI" w:hAnsi="Segoe UI" w:eastAsia="Segoe UI" w:cs="Segoe UI"/>
      <w:b/>
      <w:color w:val="1F2933"/>
      <w:sz w:val="21"/>
    </w:rPr>
  </w:style>
  <w:style w:type="paragraph" w:styleId="TOC2">
    <w:name w:val="toc 2"/>
    <w:basedOn w:val="Normal"/>
    <w:next w:val="Normal"/>
    <w:qFormat/>
    <w:pPr>
      <w:spacing w:after="30"/>
      <w:ind w:left="400"/>
    </w:pPr>
    <w:rPr>
      <w:rFonts w:ascii="Constantia" w:hAnsi="Constantia" w:eastAsia="Constantia" w:cs="Constantia"/>
      <w:color w:val="1F2933"/>
      <w:sz w:val="21"/>
    </w:rPr>
  </w:style>
</w:styles>
</file>

<file path=word/_rels/document.xml.rels>&#65279;<?xml version="1.0" encoding="utf-8"?><Relationships xmlns="http://schemas.openxmlformats.org/package/2006/relationships"><Relationship Type="http://schemas.openxmlformats.org/officeDocument/2006/relationships/styles" Target="/word/styles.xml" Id="R51cb6d7b75f34328" /><Relationship Type="http://schemas.openxmlformats.org/officeDocument/2006/relationships/numbering" Target="/word/numbering.xml" Id="R7ba9a60e6b8c454c" /><Relationship Type="http://schemas.openxmlformats.org/officeDocument/2006/relationships/settings" Target="/word/settings.xml" Id="R94059fce7c724f61" /><Relationship Type="http://schemas.openxmlformats.org/officeDocument/2006/relationships/header" Target="/word/header1.xml" Id="R24ac002e2045449c" /><Relationship Type="http://schemas.openxmlformats.org/officeDocument/2006/relationships/footer" Target="/word/footer1.xml" Id="R10d7461296414d8c" /></Relationships>
</file>