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On the app startup, the user enters a numerical value into the top text boxes with the grey text hint. The user is the primary actor using this system. The system contains four text boxes. Conversions are done after text entry. One Edit text box for the temperature in Fahrenheit. The other is another EditText box to display the result in Celcius. The goal is to convert a temperature in Fahrenheit to Celcius and from Celcius to FahrenHeit.</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On the app startup, the user enters a numerical value into the top text boxes with the grey text hint. The user is the primary actor using this system. The system contains four text boxes. Conversions are done after text entry. One Edit text box for the distance in kilometers or miles. The other is another Edit Text view box to display the result in the opposite entry type. The goal is to convert a value from km to miles and from miles to km.</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On the app startup, the user enters a numerical value into the top text boxes with the grey text hint. The user is the primary actor using this system. The system contains four text boxes. Conversions are done after text entry. One Edit text box for the mass in kilograms or pounds. The other is another Edit Text view box to display the result in the opposite entry type. The goal is to convert a value from kg to pounds and vice versa.</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On the app startup, the user enters a numerical value into the top text boxes with the grey text hint. The user is the primary actor using this system. The system contains four text boxes. Conversions are done after text entry. One Edit text box for the volume in liters or gallons. The other is another Edit Text view box to display the result in the opposite entry type. The goal is to convert a value from liters to gallons or gallons to liters.</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