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widowControl w:val="1"/>
      </w:pPr>
      <w:r>
        <w:rPr>
          <w:rFonts w:ascii="SimHei" w:hAnsi="SimHei" w:eastAsia="SimHei" w:cs="SimHei"/>
          <w:b/>
          <w:color w:val="000000"/>
          <w:sz w:val="21"/>
        </w:rPr>
        <w:t>Arabian Journal for Science and Engineering（AJSE）</w:t>
      </w:r>
    </w:p>
    <w:p>
      <w:pPr>
        <w:spacing w:after="80" w:line="276" w:lineRule="auto"/>
        <w:jc w:val="center"/>
        <w:widowControl w:val="1"/>
      </w:pPr>
      <w:r>
        <w:rPr>
          <w:rFonts w:ascii="SimHei" w:hAnsi="SimHei" w:eastAsia="SimHei" w:cs="SimHei"/>
          <w:b/>
          <w:color w:val="000000"/>
          <w:sz w:val="21"/>
        </w:rPr>
        <w:t>Phase 2A 详细写作大纲、实验回填蓝图与多子图规划</w:t>
      </w:r>
    </w:p>
    <w:p>
      <w:pPr>
        <w:spacing w:before="280" w:after="80" w:line="276" w:lineRule="auto"/>
        <w:jc w:val="center"/>
        <w:widowControl w:val="1"/>
      </w:pPr>
      <w:r>
        <w:rPr>
          <w:rFonts w:ascii="SimHei" w:hAnsi="SimHei" w:eastAsia="SimHei" w:cs="SimHei"/>
          <w:i/>
          <w:color w:val="000000"/>
          <w:sz w:val="21"/>
        </w:rPr>
        <w:t>Provisional manuscript focus</w:t>
      </w:r>
    </w:p>
    <w:p>
      <w:pPr>
        <w:spacing w:after="80" w:line="276" w:lineRule="auto"/>
        <w:jc w:val="center"/>
        <w:widowControl w:val="1"/>
      </w:pPr>
      <w:r>
        <w:rPr>
          <w:rFonts w:ascii="SimHei" w:hAnsi="SimHei" w:eastAsia="SimHei" w:cs="SimHei"/>
          <w:b/>
          <w:color w:val="000000"/>
          <w:sz w:val="21"/>
        </w:rPr>
        <w:t>Retrospective Rolling-Origin Evaluation of Sparse Floating-Car Data</w:t>
        <w:br/>
        <w:t>for Multi-Horizon Traffic Speed Forecasting on a Data-Scarce Highway Corridor</w:t>
      </w:r>
    </w:p>
    <w:p>
      <w:pPr>
        <w:widowControl w:val="1"/>
        <w:spacing w:after="80" w:line="276" w:lineRule="auto"/>
      </w:pP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746"/>
            <w:tcMar>
              <w:top w:w="80" w:type="dxa"/>
              <w:start w:w="90" w:type="dxa"/>
              <w:bottom w:w="80" w:type="dxa"/>
              <w:end w:w="90" w:type="dxa"/>
            </w:tcMar>
            <w:vAlign w:val="center"/>
            <w:shd w:val="clear" w:fill="FFFFFF"/>
          </w:tcPr>
          <w:p>
            <w:pPr>
              <w:pStyle w:val="Callout"/>
              <w:spacing w:before="0" w:after="40" w:line="259" w:lineRule="auto"/>
            </w:pPr>
            <w:r>
              <w:rPr>
                <w:rFonts w:ascii="SimHei" w:hAnsi="SimHei" w:eastAsia="SimHei" w:cs="SimHei"/>
                <w:b w:val="0"/>
                <w:color w:val="000000"/>
                <w:sz w:val="19"/>
              </w:rPr>
              <w:t>用途：在最终实验完成前固定文章逻辑、证据等级、章节结构、图表架构和数据回填位置；实验结束后再进行整体一致性校验与投稿版本重写。</w:t>
            </w:r>
          </w:p>
        </w:tc>
      </w:tr>
    </w:tbl>
    <w:p>
      <w:pPr>
        <w:widowControl w:val="1"/>
        <w:spacing w:after="80" w:line="276" w:lineRule="auto"/>
      </w:pP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trPr>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项目</w:t>
            </w:r>
          </w:p>
        </w:tc>
        <w:tc>
          <w:tcPr>
            <w:tcW w:type="dxa" w:w="6803"/>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当前定义</w:t>
            </w:r>
          </w:p>
        </w:tc>
      </w:tr>
      <w:tr>
        <w:trPr>
          <w:cantSplit/>
        </w:trPr>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目标期刊</w:t>
            </w:r>
          </w:p>
        </w:tc>
        <w:tc>
          <w:tcPr>
            <w:tcW w:type="dxa" w:w="6803"/>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Arabian Journal for Science and Engineering（AJSE，Springer Nature）</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建议稿件类型</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Full-length Original Article / Research Article</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研究主轴</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稀疏商业FCD的数据完整性、严格因果处理、六折滚动来源评价与工程适用边界</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当前证据状态</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Phase 2A-0 = BLOCKED；旧最终周已暴露，不能作为独立盲测</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主要评价证据</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六折回顾性滚动来源评价；最后一周仅作历史补充比较</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编制日期</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2026年7月29日</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后续动作</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待稳定数据快照和正式结果完成后，回填数值并执行全篇一致性审计</w:t>
            </w:r>
          </w:p>
        </w:tc>
      </w:tr>
    </w:tbl>
    <w:p>
      <w:pPr>
        <w:widowControl w:val="1"/>
        <w:spacing w:after="80" w:line="276" w:lineRule="auto"/>
      </w:pPr>
    </w:p>
    <w:p>
      <w:pPr>
        <w:pStyle w:val="SmallNote"/>
        <w:spacing w:after="80" w:line="276" w:lineRule="auto"/>
        <w:jc w:val="center"/>
        <w:widowControl w:val="1"/>
      </w:pPr>
      <w:r>
        <w:rPr>
          <w:rFonts w:ascii="SimHei" w:hAnsi="SimHei" w:eastAsia="SimHei" w:cs="SimHei"/>
          <w:color w:val="000000"/>
          <w:sz w:val="18"/>
        </w:rPr>
        <w:t>材料依据：前序项目对话、上传的 AJSE Phase 2A 文章说明、SCI 写作提示词框架，以及 2026-07-29 核验的 AJSE 官方投稿规范。</w:t>
      </w:r>
    </w:p>
    <w:p>
      <w:pPr>
        <w:widowControl w:val="1"/>
        <w:spacing w:after="80" w:line="276" w:lineRule="auto"/>
      </w:pPr>
      <w:r>
        <w:rPr>
          <w:rFonts w:ascii="SimHei" w:hAnsi="SimHei" w:eastAsia="SimHei" w:cs="SimHei"/>
          <w:color w:val="000000"/>
          <w:sz w:val="21"/>
        </w:rPr>
        <w:br w:type="page"/>
      </w:r>
    </w:p>
    <w:p>
      <w:pPr>
        <w:pStyle w:val="Heading1"/>
        <w:keepNext/>
        <w:widowControl w:val="1"/>
        <w:spacing w:before="280" w:after="140"/>
      </w:pPr>
      <w:r>
        <w:rPr>
          <w:rFonts w:ascii="SimHei" w:hAnsi="SimHei" w:eastAsia="SimHei" w:cs="SimHei"/>
          <w:color w:val="000000"/>
          <w:sz w:val="30"/>
        </w:rPr>
        <w:t>目录与使用方式</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5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本修订版新增：①整篇论文从现实问题到工程结论的九步逻辑；②六个推荐关键词的逐项含义、选择依据和替换条件；③AJSE-A0至AJSE-A13实验的目的、输入、执行、输出、通过标准、论文位置和结论边界。</w:t>
            </w:r>
          </w:p>
        </w:tc>
      </w:tr>
    </w:tbl>
    <w:p>
      <w:pPr>
        <w:spacing w:after="80" w:line="276" w:lineRule="auto"/>
      </w:pPr>
    </w:p>
    <w:p>
      <w:pPr>
        <w:spacing w:after="80" w:line="276" w:lineRule="auto"/>
        <w:ind w:left="369" w:hanging="369"/>
        <w:widowControl w:val="1"/>
      </w:pPr>
      <w:r>
        <w:rPr>
          <w:rFonts w:ascii="SimHei" w:hAnsi="SimHei" w:eastAsia="SimHei" w:cs="SimHei"/>
          <w:b/>
          <w:color w:val="000000"/>
          <w:sz w:val="21"/>
        </w:rPr>
        <w:t xml:space="preserve">1. </w:t>
      </w:r>
      <w:r>
        <w:rPr>
          <w:rFonts w:ascii="SimHei" w:hAnsi="SimHei" w:eastAsia="SimHei" w:cs="SimHei"/>
          <w:color w:val="000000"/>
          <w:sz w:val="21"/>
        </w:rPr>
      </w:r>
      <w:r>
        <w:rPr>
          <w:rFonts w:ascii="SimHei" w:hAnsi="SimHei" w:eastAsia="SimHei" w:cs="SimHei"/>
          <w:color w:val="000000"/>
          <w:sz w:val="21"/>
        </w:rPr>
        <w:t>历史对话与上传材料校验结论</w:t>
      </w:r>
    </w:p>
    <w:p>
      <w:pPr>
        <w:spacing w:after="80" w:line="276" w:lineRule="auto"/>
        <w:ind w:left="369" w:hanging="369"/>
        <w:widowControl w:val="1"/>
      </w:pPr>
      <w:r>
        <w:rPr>
          <w:rFonts w:ascii="SimHei" w:hAnsi="SimHei" w:eastAsia="SimHei" w:cs="SimHei"/>
          <w:b/>
          <w:color w:val="000000"/>
          <w:sz w:val="21"/>
        </w:rPr>
        <w:t xml:space="preserve">2. </w:t>
      </w:r>
      <w:r>
        <w:rPr>
          <w:rFonts w:ascii="SimHei" w:hAnsi="SimHei" w:eastAsia="SimHei" w:cs="SimHei"/>
          <w:color w:val="000000"/>
          <w:sz w:val="21"/>
        </w:rPr>
      </w:r>
      <w:r>
        <w:rPr>
          <w:rFonts w:ascii="SimHei" w:hAnsi="SimHei" w:eastAsia="SimHei" w:cs="SimHei"/>
          <w:color w:val="000000"/>
          <w:sz w:val="21"/>
        </w:rPr>
        <w:t>AJSE 当前投稿规范及对原写作框架的修正</w:t>
      </w:r>
    </w:p>
    <w:p>
      <w:pPr>
        <w:spacing w:after="80" w:line="276" w:lineRule="auto"/>
        <w:ind w:left="369" w:hanging="369"/>
        <w:widowControl w:val="1"/>
      </w:pPr>
      <w:r>
        <w:rPr>
          <w:rFonts w:ascii="SimHei" w:hAnsi="SimHei" w:eastAsia="SimHei" w:cs="SimHei"/>
          <w:b/>
          <w:color w:val="000000"/>
          <w:sz w:val="21"/>
        </w:rPr>
        <w:t xml:space="preserve">3. </w:t>
      </w:r>
      <w:r>
        <w:rPr>
          <w:rFonts w:ascii="SimHei" w:hAnsi="SimHei" w:eastAsia="SimHei" w:cs="SimHei"/>
          <w:color w:val="000000"/>
          <w:sz w:val="21"/>
        </w:rPr>
      </w:r>
      <w:r>
        <w:rPr>
          <w:rFonts w:ascii="SimHei" w:hAnsi="SimHei" w:eastAsia="SimHei" w:cs="SimHei"/>
          <w:color w:val="000000"/>
          <w:sz w:val="21"/>
        </w:rPr>
        <w:t>文章定位、证据边界与题目方案</w:t>
      </w:r>
    </w:p>
    <w:p>
      <w:pPr>
        <w:spacing w:after="80" w:line="276" w:lineRule="auto"/>
        <w:ind w:left="369" w:hanging="369"/>
        <w:widowControl w:val="1"/>
      </w:pPr>
      <w:r>
        <w:rPr>
          <w:rFonts w:ascii="SimHei" w:hAnsi="SimHei" w:eastAsia="SimHei" w:cs="SimHei"/>
          <w:b/>
          <w:color w:val="000000"/>
          <w:sz w:val="21"/>
        </w:rPr>
        <w:t xml:space="preserve">4. </w:t>
      </w:r>
      <w:r>
        <w:rPr>
          <w:rFonts w:ascii="SimHei" w:hAnsi="SimHei" w:eastAsia="SimHei" w:cs="SimHei"/>
          <w:color w:val="000000"/>
          <w:sz w:val="21"/>
        </w:rPr>
      </w:r>
      <w:r>
        <w:rPr>
          <w:rFonts w:ascii="SimHei" w:hAnsi="SimHei" w:eastAsia="SimHei" w:cs="SimHei"/>
          <w:color w:val="000000"/>
          <w:sz w:val="21"/>
        </w:rPr>
        <w:t>研究问题、研究目标与贡献链</w:t>
      </w:r>
    </w:p>
    <w:p>
      <w:pPr>
        <w:pStyle w:val="Heading2"/>
        <w:keepNext/>
        <w:spacing w:after="100" w:line="276" w:lineRule="auto" w:before="200"/>
      </w:pPr>
      <w:r>
        <w:rPr>
          <w:rFonts w:ascii="SimHei" w:hAnsi="SimHei" w:eastAsia="SimHei" w:cs="SimHei"/>
          <w:b w:val="0"/>
          <w:color w:val="000000"/>
          <w:sz w:val="26"/>
        </w:rPr>
        <w:t>4.3 整篇文章的总体逻辑：这篇论文到底要证明什么</w:t>
      </w:r>
    </w:p>
    <w:p>
      <w:pPr>
        <w:spacing w:after="80" w:line="276" w:lineRule="auto"/>
      </w:pPr>
      <w:r>
        <w:rPr>
          <w:rFonts w:ascii="SimHei" w:hAnsi="SimHei" w:eastAsia="SimHei" w:cs="SimHei"/>
          <w:b w:val="0"/>
          <w:color w:val="000000"/>
          <w:sz w:val="21"/>
        </w:rPr>
        <w:t>这篇文章不是先拿几个模型比一遍，然后宣布误差最低的模型最好。它真正要建立的是一条完整证据链：先证明原始商业FCD在时间和空间上被正确整理，再证明每个预测样本没有偷看未来，然后在多个连续时间段上公平比较模型，最后说明在什么数据质量和预测时距下结果可以使用、在什么条件下不应使用。换句话说，模型结果只是证据链中的一环，数据合同、时间切分和可复算审计同样是论文的核心结果。</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5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全文一句话逻辑：先把“数据是否可信、样本是否公平、时间是否无泄漏”讲清楚，再回答“模型是否准确、结果是否稳定、工程上什么时候能用”。</w:t>
            </w:r>
          </w:p>
        </w:tc>
      </w:tr>
    </w:tbl>
    <w:p>
      <w:pPr>
        <w:spacing w:after="80" w:line="276" w:lineRule="auto"/>
      </w:pPr>
    </w:p>
    <w:p>
      <w:pPr>
        <w:pStyle w:val="Heading3"/>
        <w:keepNext/>
        <w:spacing w:after="80" w:line="276" w:lineRule="auto" w:before="160"/>
      </w:pPr>
      <w:r>
        <w:rPr>
          <w:rFonts w:ascii="SimHei" w:hAnsi="SimHei" w:eastAsia="SimHei" w:cs="SimHei"/>
          <w:b w:val="0"/>
          <w:color w:val="000000"/>
          <w:sz w:val="23"/>
        </w:rPr>
        <w:t>4.3.1 为什么必须先讲数据，再讲模型</w:t>
      </w:r>
    </w:p>
    <w:p>
      <w:pPr>
        <w:spacing w:after="80" w:line="276" w:lineRule="auto"/>
      </w:pPr>
      <w:r>
        <w:rPr>
          <w:rFonts w:ascii="SimHei" w:hAnsi="SimHei" w:eastAsia="SimHei" w:cs="SimHei"/>
          <w:b w:val="0"/>
          <w:color w:val="000000"/>
          <w:sz w:val="21"/>
        </w:rPr>
        <w:t>在数据稀缺走廊中，模型误差低并不自动等于模型可靠。若某些缺失时间戳被直接忽略、不同模型使用了不同样本、训练统计量混入验证期，或者最后一周已经被研究者反复查看，那么表面上很好的MAE也可能被高估。因此，本文的叙事顺序必须是“数据形成—样本形成—时间评价—模型结果—失效边界”，不能反过来。</w:t>
      </w:r>
    </w:p>
    <w:p>
      <w:pPr>
        <w:pStyle w:val="ListBullet"/>
        <w:spacing w:after="80" w:line="276" w:lineRule="auto"/>
        <w:ind w:left="360" w:hanging="173"/>
      </w:pPr>
      <w:r>
        <w:rPr>
          <w:rFonts w:ascii="SimHei" w:hAnsi="SimHei" w:eastAsia="SimHei" w:cs="SimHei"/>
          <w:b w:val="0"/>
          <w:color w:val="000000"/>
          <w:sz w:val="21"/>
        </w:rPr>
        <w:t>先讲完整理论网格：让读者知道理论上应该有多少条记录，缺了多少条，缺失发生在哪里。</w:t>
      </w:r>
    </w:p>
    <w:p>
      <w:pPr>
        <w:pStyle w:val="ListBullet"/>
        <w:spacing w:after="80" w:line="276" w:lineRule="auto"/>
        <w:ind w:left="360" w:hanging="173"/>
      </w:pPr>
      <w:r>
        <w:rPr>
          <w:rFonts w:ascii="SimHei" w:hAnsi="SimHei" w:eastAsia="SimHei" w:cs="SimHei"/>
          <w:b w:val="0"/>
          <w:color w:val="000000"/>
          <w:sz w:val="21"/>
        </w:rPr>
        <w:t>再讲数据资格规则：让读者知道哪些记录被保留、哪些被排除，以及排除是否在看结果之前确定。</w:t>
      </w:r>
    </w:p>
    <w:p>
      <w:pPr>
        <w:pStyle w:val="ListBullet"/>
        <w:spacing w:after="80" w:line="276" w:lineRule="auto"/>
        <w:ind w:left="360" w:hanging="173"/>
      </w:pPr>
      <w:r>
        <w:rPr>
          <w:rFonts w:ascii="SimHei" w:hAnsi="SimHei" w:eastAsia="SimHei" w:cs="SimHei"/>
          <w:b w:val="0"/>
          <w:color w:val="000000"/>
          <w:sz w:val="21"/>
        </w:rPr>
        <w:t>再讲共同sample manifest：保证所有模型比较的是同一批节点、同一批预测起点和同一批目标。</w:t>
      </w:r>
    </w:p>
    <w:p>
      <w:pPr>
        <w:pStyle w:val="ListBullet"/>
        <w:spacing w:after="80" w:line="276" w:lineRule="auto"/>
        <w:ind w:left="360" w:hanging="173"/>
      </w:pPr>
      <w:r>
        <w:rPr>
          <w:rFonts w:ascii="SimHei" w:hAnsi="SimHei" w:eastAsia="SimHei" w:cs="SimHei"/>
          <w:b w:val="0"/>
          <w:color w:val="000000"/>
          <w:sz w:val="21"/>
        </w:rPr>
        <w:t>再讲六折rolling-origin：保证模型只用过去预测未来，并检验结果是否依赖某一个星期。</w:t>
      </w:r>
    </w:p>
    <w:p>
      <w:pPr>
        <w:pStyle w:val="ListBullet"/>
        <w:spacing w:after="80" w:line="276" w:lineRule="auto"/>
        <w:ind w:left="360" w:hanging="173"/>
      </w:pPr>
      <w:r>
        <w:rPr>
          <w:rFonts w:ascii="SimHei" w:hAnsi="SimHei" w:eastAsia="SimHei" w:cs="SimHei"/>
          <w:b w:val="0"/>
          <w:color w:val="000000"/>
          <w:sz w:val="21"/>
        </w:rPr>
        <w:t>最后才讲模型和工程意义：模型是否更准只是问题之一，还要看最差折、最差节点、低覆盖条件和长期时距是否失效。</w:t>
      </w:r>
    </w:p>
    <w:p>
      <w:pPr>
        <w:pStyle w:val="Heading3"/>
        <w:keepNext/>
        <w:spacing w:after="80" w:line="276" w:lineRule="auto" w:before="160"/>
      </w:pPr>
      <w:r>
        <w:rPr>
          <w:rFonts w:ascii="SimHei" w:hAnsi="SimHei" w:eastAsia="SimHei" w:cs="SimHei"/>
          <w:b w:val="0"/>
          <w:color w:val="000000"/>
          <w:sz w:val="23"/>
        </w:rPr>
        <w:t>4.3.2 从现实问题到论文结论的九步逻辑链</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val="true"/>
        </w:trPr>
        <w:tc>
          <w:tcPr>
            <w:tcW w:type="dxa" w:w="108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步骤</w:t>
            </w:r>
          </w:p>
        </w:tc>
        <w:tc>
          <w:tcPr>
            <w:tcW w:type="dxa" w:w="2088"/>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需要回答的问题</w:t>
            </w:r>
          </w:p>
        </w:tc>
        <w:tc>
          <w:tcPr>
            <w:tcW w:type="dxa" w:w="3168"/>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论文中的证据</w:t>
            </w:r>
          </w:p>
        </w:tc>
        <w:tc>
          <w:tcPr>
            <w:tcW w:type="dxa" w:w="3168"/>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大白话解释</w:t>
            </w:r>
          </w:p>
        </w:tc>
      </w:tr>
      <w:tr>
        <w:trPr>
          <w:cantSplit w:val="true"/>
        </w:trPr>
        <w:tc>
          <w:tcPr>
            <w:tcW w:type="dxa" w:w="108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1. 现实场景</w:t>
            </w:r>
          </w:p>
        </w:tc>
        <w:tc>
          <w:tcPr>
            <w:tcW w:type="dxa" w:w="2088"/>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为什么需要这项研究？</w:t>
            </w:r>
          </w:p>
        </w:tc>
        <w:tc>
          <w:tcPr>
            <w:tcW w:type="dxa" w:w="3168"/>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数据稀缺的长距离公路、固定检测设施有限、商业FCD可提供速度观测。</w:t>
            </w:r>
          </w:p>
        </w:tc>
        <w:tc>
          <w:tcPr>
            <w:tcW w:type="dxa" w:w="3168"/>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这条路上没有足够密集的地面传感器，所以管理者可能只能依赖平台速度数据。</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2. 数据风险</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商业FCD为什么不能直接拿来训练？</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缺失、低confidence、节点掉线、时间戳不连续、历史期短。</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平台有数据不等于每个点、每个时刻都有可靠数据。</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3. 网格重建</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理论上应有多少记录？</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node×15-min和node×hour完整理论网格、缺失标记与数据流失表。</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先把所有应该出现的格子画出来，空格子才是真正的缺失。</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4. 资格冻结</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什么数据算有效？</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confidence、速度范围、provider status策略、2/4主聚合、H6标签规则。</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提前写清楚“什么样的数据能进考场”，不能看到成绩后再改门槛。</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5. 样本统一</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模型是否比较同一批题目？</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统一sample_id、history和target边界、共同样本评价。</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所有模型必须做同一套试卷，不能一个模型挑容易题，另一个模型做全部题。</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6. 时间评价</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模型是否偷看未来？</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六折rolling-origin、purge、fold-wise scaler/imputer/HA。</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每一折都只能用当时已经发生的数据，未来信息不能进入训练。</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7. 性能与稳定性</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模型在不同时间和时距是否都有效？</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H1/H3/H6指标、每折结果、最差折、排名变化。</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不能只看平均分，还要看有没有某一周突然失灵。</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8. 可靠性边界</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什么条件下误差变大？</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coverage、gap、confidence、节点、日期和交通状态分层。</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告诉管理者什么情况下可以相信预测，什么情况下要谨慎。</w:t>
            </w:r>
          </w:p>
        </w:tc>
      </w:tr>
      <w:tr>
        <w:trPr>
          <w:cantSplit w:val="true"/>
        </w:trPr>
        <w:tc>
          <w:tcPr>
            <w:tcW w:type="dxa" w:w="10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9. 工程结论</w:t>
            </w:r>
          </w:p>
        </w:tc>
        <w:tc>
          <w:tcPr>
            <w:tcW w:type="dxa" w:w="20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研究最终能给出什么建议？</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精度、稳定性、数据要求、模型复杂度和可复现性综合判断。</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最终不是宣布冠军，而是给出一套可实施、可审计的使用条件。</w:t>
            </w:r>
          </w:p>
        </w:tc>
      </w:tr>
    </w:tbl>
    <w:p>
      <w:pPr>
        <w:spacing w:after="80" w:line="276" w:lineRule="auto"/>
      </w:pPr>
    </w:p>
    <w:p>
      <w:pPr>
        <w:pStyle w:val="Heading3"/>
        <w:keepNext/>
        <w:spacing w:after="80" w:line="276" w:lineRule="auto" w:before="160"/>
      </w:pPr>
      <w:r>
        <w:rPr>
          <w:rFonts w:ascii="SimHei" w:hAnsi="SimHei" w:eastAsia="SimHei" w:cs="SimHei"/>
          <w:b w:val="0"/>
          <w:color w:val="000000"/>
          <w:sz w:val="23"/>
        </w:rPr>
        <w:t>4.3.3 各章节在逻辑链中的职责</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val="true"/>
        </w:trPr>
        <w:tc>
          <w:tcPr>
            <w:tcW w:type="dxa" w:w="1512"/>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章节</w:t>
            </w:r>
          </w:p>
        </w:tc>
        <w:tc>
          <w:tcPr>
            <w:tcW w:type="dxa" w:w="230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主要职责</w:t>
            </w:r>
          </w:p>
        </w:tc>
        <w:tc>
          <w:tcPr>
            <w:tcW w:type="dxa" w:w="302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应该写什么</w:t>
            </w:r>
          </w:p>
        </w:tc>
        <w:tc>
          <w:tcPr>
            <w:tcW w:type="dxa" w:w="266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不应该写什么</w:t>
            </w:r>
          </w:p>
        </w:tc>
      </w:tr>
      <w:tr>
        <w:trPr>
          <w:cantSplit w:val="true"/>
        </w:trPr>
        <w:tc>
          <w:tcPr>
            <w:tcW w:type="dxa" w:w="1512"/>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Introduction</w:t>
            </w:r>
          </w:p>
        </w:tc>
        <w:tc>
          <w:tcPr>
            <w:tcW w:type="dxa" w:w="230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把现实问题收缩为可研究的问题。</w:t>
            </w:r>
          </w:p>
        </w:tc>
        <w:tc>
          <w:tcPr>
            <w:tcW w:type="dxa" w:w="302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数据稀缺走廊、FCD机会与风险、现有评价不足、本文目标和贡献。</w:t>
            </w:r>
          </w:p>
        </w:tc>
        <w:tc>
          <w:tcPr>
            <w:tcW w:type="dxa" w:w="266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不要提前写模型排名或未经最终实验确认的结果。</w:t>
            </w:r>
          </w:p>
        </w:tc>
      </w:tr>
      <w:tr>
        <w:trPr>
          <w:cantSplit w:val="true"/>
        </w:trPr>
        <w:tc>
          <w:tcPr>
            <w:tcW w:type="dxa" w:w="151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Related Work</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证明研究空白具体存在。</w:t>
            </w:r>
          </w:p>
        </w:tc>
        <w:tc>
          <w:tcPr>
            <w:tcW w:type="dxa" w:w="302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FCD预测、缺失/短历史、时间序列评价、数据泄漏与复现。</w:t>
            </w:r>
          </w:p>
        </w:tc>
        <w:tc>
          <w:tcPr>
            <w:tcW w:type="dxa" w:w="266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不要按模型名称罗列文献，也不要把“文献少”当作唯一空白。</w:t>
            </w:r>
          </w:p>
        </w:tc>
      </w:tr>
      <w:tr>
        <w:trPr>
          <w:cantSplit w:val="true"/>
        </w:trPr>
        <w:tc>
          <w:tcPr>
            <w:tcW w:type="dxa" w:w="151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Study Area and Data</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说明数据从哪里来、代表什么。</w:t>
            </w:r>
          </w:p>
        </w:tc>
        <w:tc>
          <w:tcPr>
            <w:tcW w:type="dxa" w:w="302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走廊、节点、时间范围、变量、许可、平台数据边界。</w:t>
            </w:r>
          </w:p>
        </w:tc>
        <w:tc>
          <w:tcPr>
            <w:tcW w:type="dxa" w:w="266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不要把平台速度说成全部车辆的真实交通流。</w:t>
            </w:r>
          </w:p>
        </w:tc>
      </w:tr>
      <w:tr>
        <w:trPr>
          <w:cantSplit w:val="true"/>
        </w:trPr>
        <w:tc>
          <w:tcPr>
            <w:tcW w:type="dxa" w:w="151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Methodology</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让其他人能够重复整个证据形成过程。</w:t>
            </w:r>
          </w:p>
        </w:tc>
        <w:tc>
          <w:tcPr>
            <w:tcW w:type="dxa" w:w="302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网格、资格、聚合、目标、fold、manifest、模型、指标、统计与审计。</w:t>
            </w:r>
          </w:p>
        </w:tc>
        <w:tc>
          <w:tcPr>
            <w:tcW w:type="dxa" w:w="266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不要在方法中提前夸大模型效果。</w:t>
            </w:r>
          </w:p>
        </w:tc>
      </w:tr>
      <w:tr>
        <w:trPr>
          <w:cantSplit w:val="true"/>
        </w:trPr>
        <w:tc>
          <w:tcPr>
            <w:tcW w:type="dxa" w:w="151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按RQ报告事实。</w:t>
            </w:r>
          </w:p>
        </w:tc>
        <w:tc>
          <w:tcPr>
            <w:tcW w:type="dxa" w:w="302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样本形成、主benchmark、跨折稳定性、质量分层、统计和敏感性。</w:t>
            </w:r>
          </w:p>
        </w:tc>
        <w:tc>
          <w:tcPr>
            <w:tcW w:type="dxa" w:w="266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不要在每段中重复全部表格数值，也不要过度解释原因。</w:t>
            </w:r>
          </w:p>
        </w:tc>
      </w:tr>
      <w:tr>
        <w:trPr>
          <w:cantSplit w:val="true"/>
        </w:trPr>
        <w:tc>
          <w:tcPr>
            <w:tcW w:type="dxa" w:w="151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Discussion</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解释结果为什么重要以及何时成立。</w:t>
            </w:r>
          </w:p>
        </w:tc>
        <w:tc>
          <w:tcPr>
            <w:tcW w:type="dxa" w:w="302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与文献比较、可能机制、工程含义、局限和未来研究。</w:t>
            </w:r>
          </w:p>
        </w:tc>
        <w:tc>
          <w:tcPr>
            <w:tcW w:type="dxa" w:w="266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不要把相关性写成因果，不要重新抄Results。</w:t>
            </w:r>
          </w:p>
        </w:tc>
      </w:tr>
      <w:tr>
        <w:trPr>
          <w:cantSplit w:val="true"/>
        </w:trPr>
        <w:tc>
          <w:tcPr>
            <w:tcW w:type="dxa" w:w="151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Conclusion</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压缩成可被引用的最终判断。</w:t>
            </w:r>
          </w:p>
        </w:tc>
        <w:tc>
          <w:tcPr>
            <w:tcW w:type="dxa" w:w="302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在何种协议和条件下FCD可用、最可靠时距、失效边界和下一步。</w:t>
            </w:r>
          </w:p>
        </w:tc>
        <w:tc>
          <w:tcPr>
            <w:tcW w:type="dxa" w:w="266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不要加入正文没有的新结果或普遍化结论。</w:t>
            </w:r>
          </w:p>
        </w:tc>
      </w:tr>
    </w:tbl>
    <w:p>
      <w:pPr>
        <w:spacing w:after="80" w:line="276" w:lineRule="auto"/>
      </w:pPr>
    </w:p>
    <w:p>
      <w:pPr>
        <w:pStyle w:val="Heading3"/>
        <w:keepNext/>
        <w:spacing w:after="80" w:line="276" w:lineRule="auto" w:before="160"/>
      </w:pPr>
      <w:r>
        <w:rPr>
          <w:rFonts w:ascii="SimHei" w:hAnsi="SimHei" w:eastAsia="SimHei" w:cs="SimHei"/>
          <w:b w:val="0"/>
          <w:color w:val="000000"/>
          <w:sz w:val="23"/>
        </w:rPr>
        <w:t>4.3.4 读者最后应该得到的五个“大白话答案”</w:t>
      </w:r>
    </w:p>
    <w:p>
      <w:pPr>
        <w:pStyle w:val="ListNumber"/>
        <w:spacing w:after="80" w:line="276" w:lineRule="auto"/>
        <w:ind w:left="360" w:hanging="173"/>
      </w:pPr>
      <w:r>
        <w:rPr>
          <w:rFonts w:ascii="SimHei" w:hAnsi="SimHei" w:eastAsia="SimHei" w:cs="SimHei"/>
          <w:b w:val="0"/>
          <w:color w:val="000000"/>
          <w:sz w:val="21"/>
        </w:rPr>
        <w:t>这些商业FCD究竟有多少能用，不能用的数据主要坏在哪里？</w:t>
      </w:r>
    </w:p>
    <w:p>
      <w:pPr>
        <w:pStyle w:val="ListNumber"/>
        <w:spacing w:after="80" w:line="276" w:lineRule="auto"/>
        <w:ind w:left="360" w:hanging="173"/>
      </w:pPr>
      <w:r>
        <w:rPr>
          <w:rFonts w:ascii="SimHei" w:hAnsi="SimHei" w:eastAsia="SimHei" w:cs="SimHei"/>
          <w:b w:val="0"/>
          <w:color w:val="000000"/>
          <w:sz w:val="21"/>
        </w:rPr>
        <w:t>在完全相同的样本和严格时间切分下，简单模型、树模型和轻量序列模型谁更准、谁更稳定？</w:t>
      </w:r>
    </w:p>
    <w:p>
      <w:pPr>
        <w:pStyle w:val="ListNumber"/>
        <w:spacing w:after="80" w:line="276" w:lineRule="auto"/>
        <w:ind w:left="360" w:hanging="173"/>
      </w:pPr>
      <w:r>
        <w:rPr>
          <w:rFonts w:ascii="SimHei" w:hAnsi="SimHei" w:eastAsia="SimHei" w:cs="SimHei"/>
          <w:b w:val="0"/>
          <w:color w:val="000000"/>
          <w:sz w:val="21"/>
        </w:rPr>
        <w:t>1、3、6小时预测中，哪个时距最可靠，误差从哪个时距开始明显增加？</w:t>
      </w:r>
    </w:p>
    <w:p>
      <w:pPr>
        <w:pStyle w:val="ListNumber"/>
        <w:spacing w:after="80" w:line="276" w:lineRule="auto"/>
        <w:ind w:left="360" w:hanging="173"/>
      </w:pPr>
      <w:r>
        <w:rPr>
          <w:rFonts w:ascii="SimHei" w:hAnsi="SimHei" w:eastAsia="SimHei" w:cs="SimHei"/>
          <w:b w:val="0"/>
          <w:color w:val="000000"/>
          <w:sz w:val="21"/>
        </w:rPr>
        <w:t>当coverage低、连续缺失长或某些节点质量较差时，预测会退化到什么程度？</w:t>
      </w:r>
    </w:p>
    <w:p>
      <w:pPr>
        <w:pStyle w:val="ListNumber"/>
        <w:spacing w:after="80" w:line="276" w:lineRule="auto"/>
        <w:ind w:left="360" w:hanging="173"/>
      </w:pPr>
      <w:r>
        <w:rPr>
          <w:rFonts w:ascii="SimHei" w:hAnsi="SimHei" w:eastAsia="SimHei" w:cs="SimHei"/>
          <w:b w:val="0"/>
          <w:color w:val="000000"/>
          <w:sz w:val="21"/>
        </w:rPr>
        <w:t>实际部署时需要满足哪些最低数据条件，哪些结果只能视为历史开发比较而不能视为独立验证？</w:t>
      </w:r>
    </w:p>
    <w:p>
      <w:pPr>
        <w:pStyle w:val="Heading2"/>
        <w:keepNext/>
        <w:spacing w:after="100" w:line="276" w:lineRule="auto" w:before="200"/>
      </w:pPr>
      <w:r>
        <w:rPr>
          <w:rFonts w:ascii="SimHei" w:hAnsi="SimHei" w:eastAsia="SimHei" w:cs="SimHei"/>
          <w:b w:val="0"/>
          <w:color w:val="000000"/>
          <w:sz w:val="26"/>
        </w:rPr>
        <w:t>4.4 Keywords：关键词为什么这样选</w:t>
      </w:r>
    </w:p>
    <w:p>
      <w:pPr>
        <w:spacing w:after="80" w:line="276" w:lineRule="auto"/>
      </w:pPr>
      <w:r>
        <w:rPr>
          <w:rFonts w:ascii="SimHei" w:hAnsi="SimHei" w:eastAsia="SimHei" w:cs="SimHei"/>
          <w:b w:val="0"/>
          <w:color w:val="000000"/>
          <w:sz w:val="21"/>
        </w:rPr>
        <w:t>AJSE通常要求4–6个关键词。关键词不是把标题拆成几个词，也不是把所有模型名称都放进去。它们的作用是让数据库和目标读者准确找到文章，因此应同时覆盖“数据来源、预测任务、评价方法、数据问题和应用场景”。本文建议先使用6个关键词，最终可根据正式结果删减或替换其中1个。</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5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推荐关键词：Floating-car data; Traffic speed forecasting; Rolling-origin evaluation; Data reliability; Sparse traffic observations; Highway corridor</w:t>
            </w:r>
          </w:p>
        </w:tc>
      </w:tr>
    </w:tbl>
    <w:p>
      <w:pPr>
        <w:spacing w:after="80" w:line="276" w:lineRule="auto"/>
      </w:pP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val="true"/>
        </w:trPr>
        <w:tc>
          <w:tcPr>
            <w:tcW w:type="dxa" w:w="2016"/>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英文关键词</w:t>
            </w:r>
          </w:p>
        </w:tc>
        <w:tc>
          <w:tcPr>
            <w:tcW w:type="dxa" w:w="2592"/>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中文和大白话含义</w:t>
            </w:r>
          </w:p>
        </w:tc>
        <w:tc>
          <w:tcPr>
            <w:tcW w:type="dxa" w:w="2592"/>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为什么放入本文</w:t>
            </w:r>
          </w:p>
        </w:tc>
        <w:tc>
          <w:tcPr>
            <w:tcW w:type="dxa" w:w="230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使用边界与注意事项</w:t>
            </w:r>
          </w:p>
        </w:tc>
      </w:tr>
      <w:tr>
        <w:trPr>
          <w:cantSplit w:val="true"/>
        </w:trPr>
        <w:tc>
          <w:tcPr>
            <w:tcW w:type="dxa" w:w="2016"/>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Floating-car data (FCD)</w:t>
            </w:r>
          </w:p>
        </w:tc>
        <w:tc>
          <w:tcPr>
            <w:tcW w:type="dxa" w:w="2592"/>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浮动车数据。车辆或导航平台在道路上形成的速度/旅行时间类观测。</w:t>
            </w:r>
          </w:p>
        </w:tc>
        <w:tc>
          <w:tcPr>
            <w:tcW w:type="dxa" w:w="2592"/>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这是本文最核心的数据来源，也是检索本文的首要入口。</w:t>
            </w:r>
          </w:p>
        </w:tc>
        <w:tc>
          <w:tcPr>
            <w:tcW w:type="dxa" w:w="230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首次出现要给全称和缩写；不要称为完整车辆轨迹，除非确实拥有轨迹级数据。</w:t>
            </w:r>
          </w:p>
        </w:tc>
      </w:tr>
      <w:tr>
        <w:trPr>
          <w:cantSplit w:val="true"/>
        </w:trPr>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Traffic speed forecasting</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交通速度预测。利用过去信息估计未来速度。</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明确论文的任务是预测速度，不是交通流量、事故检测或拥堵分类。</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正文应统一写speed forecasting；目标若是未来窗口平均速度，要在方法中明确。</w:t>
            </w:r>
          </w:p>
        </w:tc>
      </w:tr>
      <w:tr>
        <w:trPr>
          <w:cantSplit w:val="true"/>
        </w:trPr>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Rolling-origin evaluation</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滚动来源评价。训练窗口在时间上向前推进，每次只用过去预测后续连续时段。</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这是本文区别于随机切分和单一测试周的关键评价设计。</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不要与普通随机K-fold混用；每一折的预处理和模型拟合都要独立。</w:t>
            </w:r>
          </w:p>
        </w:tc>
      </w:tr>
      <w:tr>
        <w:trPr>
          <w:cantSplit w:val="true"/>
        </w:trPr>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Data reliability</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数据可靠性。关注coverage、confidence、缺失、连续断档及其对可用性的影响。</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对应本文工程贡献：不仅问预测准不准，还问数据质量差时还能不能用。</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如果最终没有完成质量分层分析，应替换为Reproducible evaluation或Multi-horizon forecasting。</w:t>
            </w:r>
          </w:p>
        </w:tc>
      </w:tr>
      <w:tr>
        <w:trPr>
          <w:cantSplit w:val="true"/>
        </w:trPr>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Sparse traffic observations</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稀疏交通观测。并非指完全没有数据，而是时间/节点覆盖不均、有效历史短或连续缺失。</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准确概括研究场景，比泛泛的big data或artificial intelligence更有区分度。</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正文需要给出“稀疏”的操作性定义，例如有效槽位、覆盖率或gap长度。</w:t>
            </w:r>
          </w:p>
        </w:tc>
      </w:tr>
      <w:tr>
        <w:trPr>
          <w:cantSplit w:val="true"/>
        </w:trPr>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Highway corridor</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公路走廊。强调研究对象是按物理顺序排列的长距离道路节点。</w:t>
            </w:r>
          </w:p>
        </w:tc>
        <w:tc>
          <w:tcPr>
            <w:tcW w:type="dxa" w:w="259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帮助交通工程读者识别应用场景，并区分城市路网级研究。</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若道路分类最终不能严格称为highway，可改为interurban road corridor或regional road corridor。</w:t>
            </w:r>
          </w:p>
        </w:tc>
      </w:tr>
    </w:tbl>
    <w:p>
      <w:pPr>
        <w:spacing w:after="80" w:line="276" w:lineRule="auto"/>
      </w:pPr>
    </w:p>
    <w:p>
      <w:pPr>
        <w:pStyle w:val="Heading3"/>
        <w:keepNext/>
        <w:spacing w:after="80" w:line="276" w:lineRule="auto" w:before="160"/>
      </w:pPr>
      <w:r>
        <w:rPr>
          <w:rFonts w:ascii="SimHei" w:hAnsi="SimHei" w:eastAsia="SimHei" w:cs="SimHei"/>
          <w:b w:val="0"/>
          <w:color w:val="000000"/>
          <w:sz w:val="23"/>
        </w:rPr>
        <w:t>4.4.1 关键词的替换规则</w:t>
      </w:r>
    </w:p>
    <w:p>
      <w:pPr>
        <w:pStyle w:val="ListBullet"/>
        <w:spacing w:after="80" w:line="276" w:lineRule="auto"/>
        <w:ind w:left="360" w:hanging="173"/>
      </w:pPr>
      <w:r>
        <w:rPr>
          <w:rFonts w:ascii="SimHei" w:hAnsi="SimHei" w:eastAsia="SimHei" w:cs="SimHei"/>
          <w:b w:val="0"/>
          <w:color w:val="000000"/>
          <w:sz w:val="21"/>
        </w:rPr>
        <w:t>若正式结果的最大亮点是H1/H3/H6差异，可用“Multi-horizon forecasting”替换“Highway corridor”。</w:t>
      </w:r>
    </w:p>
    <w:p>
      <w:pPr>
        <w:pStyle w:val="ListBullet"/>
        <w:spacing w:after="80" w:line="276" w:lineRule="auto"/>
        <w:ind w:left="360" w:hanging="173"/>
      </w:pPr>
      <w:r>
        <w:rPr>
          <w:rFonts w:ascii="SimHei" w:hAnsi="SimHei" w:eastAsia="SimHei" w:cs="SimHei"/>
          <w:b w:val="0"/>
          <w:color w:val="000000"/>
          <w:sz w:val="21"/>
        </w:rPr>
        <w:t>若主要贡献更偏复现协议而不是质量分层，可用“Reproducible evaluation”替换“Data reliability”。</w:t>
      </w:r>
    </w:p>
    <w:p>
      <w:pPr>
        <w:pStyle w:val="ListBullet"/>
        <w:spacing w:after="80" w:line="276" w:lineRule="auto"/>
        <w:ind w:left="360" w:hanging="173"/>
      </w:pPr>
      <w:r>
        <w:rPr>
          <w:rFonts w:ascii="SimHei" w:hAnsi="SimHei" w:eastAsia="SimHei" w:cs="SimHei"/>
          <w:b w:val="0"/>
          <w:color w:val="000000"/>
          <w:sz w:val="21"/>
        </w:rPr>
        <w:t>若最终只保留HA、Persistence和XGBoost，不建议把XGBoost或Machine learning作为核心关键词；模型不是本文的主要创新。</w:t>
      </w:r>
    </w:p>
    <w:p>
      <w:pPr>
        <w:pStyle w:val="ListBullet"/>
        <w:spacing w:after="80" w:line="276" w:lineRule="auto"/>
        <w:ind w:left="360" w:hanging="173"/>
      </w:pPr>
      <w:r>
        <w:rPr>
          <w:rFonts w:ascii="SimHei" w:hAnsi="SimHei" w:eastAsia="SimHei" w:cs="SimHei"/>
          <w:b w:val="0"/>
          <w:color w:val="000000"/>
          <w:sz w:val="21"/>
        </w:rPr>
        <w:t>不要同时使用Sparse FCD、Data-scarce、Missing data三个近义关键词，占用有限名额。正文可以解释三者差异，关键词保留最具检索价值的一个。</w:t>
      </w:r>
    </w:p>
    <w:p>
      <w:pPr>
        <w:pStyle w:val="ListBullet"/>
        <w:spacing w:after="80" w:line="276" w:lineRule="auto"/>
        <w:ind w:left="360" w:hanging="173"/>
      </w:pPr>
      <w:r>
        <w:rPr>
          <w:rFonts w:ascii="SimHei" w:hAnsi="SimHei" w:eastAsia="SimHei" w:cs="SimHei"/>
          <w:b w:val="0"/>
          <w:color w:val="000000"/>
          <w:sz w:val="21"/>
        </w:rPr>
        <w:t>最终关键词必须在Abstract和Introduction中自然出现，但不应为了关键词密度机械重复。</w:t>
      </w:r>
    </w:p>
    <w:p>
      <w:pPr>
        <w:pStyle w:val="Heading3"/>
        <w:keepNext/>
        <w:spacing w:after="80" w:line="276" w:lineRule="auto" w:before="160"/>
      </w:pPr>
      <w:r>
        <w:rPr>
          <w:rFonts w:ascii="SimHei" w:hAnsi="SimHei" w:eastAsia="SimHei" w:cs="SimHei"/>
          <w:b w:val="0"/>
          <w:color w:val="000000"/>
          <w:sz w:val="23"/>
        </w:rPr>
        <w:t>4.4.2 关键词、标题和摘要的一致性检查</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21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检查项</w:t>
            </w:r>
          </w:p>
        </w:tc>
        <w:tc>
          <w:tcPr>
            <w:tcW w:type="dxa" w:w="73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通过标准</w:t>
            </w:r>
          </w:p>
        </w:tc>
      </w:tr>
      <w:tr>
        <w:trPr>
          <w:cantSplit w:val="true"/>
        </w:trPr>
        <w:tc>
          <w:tcPr>
            <w:tcW w:type="dxa" w:w="21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数据来源一致</w:t>
            </w:r>
          </w:p>
        </w:tc>
        <w:tc>
          <w:tcPr>
            <w:tcW w:type="dxa" w:w="73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标题/摘要写commercial FCD时，Methods必须说明数据提供商、粒度和字段边界。</w:t>
            </w:r>
          </w:p>
        </w:tc>
      </w:tr>
      <w:tr>
        <w:trPr>
          <w:cantSplit w:val="true"/>
        </w:trPr>
        <w:tc>
          <w:tcPr>
            <w:tcW w:type="dxa" w:w="21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任务一致</w:t>
            </w:r>
          </w:p>
        </w:tc>
        <w:tc>
          <w:tcPr>
            <w:tcW w:type="dxa" w:w="73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关键词写traffic speed forecasting时，目标变量、时间窗口和单位必须清楚。</w:t>
            </w:r>
          </w:p>
        </w:tc>
      </w:tr>
      <w:tr>
        <w:trPr>
          <w:cantSplit w:val="true"/>
        </w:trPr>
        <w:tc>
          <w:tcPr>
            <w:tcW w:type="dxa" w:w="21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评价一致</w:t>
            </w:r>
          </w:p>
        </w:tc>
        <w:tc>
          <w:tcPr>
            <w:tcW w:type="dxa" w:w="73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关键词写rolling-origin时，正文必须报告折数、边界、purge和fold-wise拟合。</w:t>
            </w:r>
          </w:p>
        </w:tc>
      </w:tr>
      <w:tr>
        <w:trPr>
          <w:cantSplit w:val="true"/>
        </w:trPr>
        <w:tc>
          <w:tcPr>
            <w:tcW w:type="dxa" w:w="21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可靠性一致</w:t>
            </w:r>
          </w:p>
        </w:tc>
        <w:tc>
          <w:tcPr>
            <w:tcW w:type="dxa" w:w="73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关键词写data reliability时，Results至少包含一种质量分层或失效边界分析。</w:t>
            </w:r>
          </w:p>
        </w:tc>
      </w:tr>
      <w:tr>
        <w:trPr>
          <w:cantSplit w:val="true"/>
        </w:trPr>
        <w:tc>
          <w:tcPr>
            <w:tcW w:type="dxa" w:w="21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场景一致</w:t>
            </w:r>
          </w:p>
        </w:tc>
        <w:tc>
          <w:tcPr>
            <w:tcW w:type="dxa" w:w="73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关键词写highway corridor时，研究区描述和地图必须支持该道路场景。</w:t>
            </w:r>
          </w:p>
        </w:tc>
      </w:tr>
    </w:tbl>
    <w:p>
      <w:pPr>
        <w:spacing w:after="80" w:line="276" w:lineRule="auto"/>
      </w:pPr>
    </w:p>
    <w:p>
      <w:pPr>
        <w:pStyle w:val="Heading2"/>
        <w:keepNext/>
        <w:spacing w:after="100" w:line="276" w:lineRule="auto" w:before="200"/>
      </w:pPr>
      <w:r>
        <w:rPr>
          <w:rFonts w:ascii="SimHei" w:hAnsi="SimHei" w:eastAsia="SimHei" w:cs="SimHei"/>
          <w:b w:val="0"/>
          <w:color w:val="000000"/>
          <w:sz w:val="26"/>
        </w:rPr>
        <w:t>4.5 实验体系全景：每个实验为什么要做、做完能说明什么</w:t>
      </w:r>
    </w:p>
    <w:p>
      <w:pPr>
        <w:spacing w:after="80" w:line="276" w:lineRule="auto"/>
      </w:pPr>
      <w:r>
        <w:rPr>
          <w:rFonts w:ascii="SimHei" w:hAnsi="SimHei" w:eastAsia="SimHei" w:cs="SimHei"/>
          <w:b w:val="0"/>
          <w:color w:val="000000"/>
          <w:sz w:val="21"/>
        </w:rPr>
        <w:t>为避免与旧文章中的E0–E6、P系列编号混淆，本大纲使用“AJSE-A0至AJSE-A13”作为写作层面的建议编号。它们不强制替换本地脚本名称；正式论文和补充材料中应建立“写作编号—脚本—配置—输出目录”的一一对照。实验不能只列模型和次数，而要说明每一步在证据链中解决什么风险。</w:t>
      </w:r>
    </w:p>
    <w:p>
      <w:pPr>
        <w:pStyle w:val="Heading3"/>
        <w:keepNext/>
        <w:spacing w:after="80" w:line="276" w:lineRule="auto" w:before="160"/>
      </w:pPr>
      <w:r>
        <w:rPr>
          <w:rFonts w:ascii="SimHei" w:hAnsi="SimHei" w:eastAsia="SimHei" w:cs="SimHei"/>
          <w:b w:val="0"/>
          <w:color w:val="000000"/>
          <w:sz w:val="23"/>
        </w:rPr>
        <w:t>4.5.1 三类实验的证据等级</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val="true"/>
        </w:trPr>
        <w:tc>
          <w:tcPr>
            <w:tcW w:type="dxa" w:w="158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类型</w:t>
            </w:r>
          </w:p>
        </w:tc>
        <w:tc>
          <w:tcPr>
            <w:tcW w:type="dxa" w:w="230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包含实验</w:t>
            </w:r>
          </w:p>
        </w:tc>
        <w:tc>
          <w:tcPr>
            <w:tcW w:type="dxa" w:w="3888"/>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作用</w:t>
            </w:r>
          </w:p>
        </w:tc>
        <w:tc>
          <w:tcPr>
            <w:tcW w:type="dxa" w:w="1728"/>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能否支撑主结论</w:t>
            </w:r>
          </w:p>
        </w:tc>
      </w:tr>
      <w:tr>
        <w:trPr>
          <w:cantSplit w:val="true"/>
        </w:trPr>
        <w:tc>
          <w:tcPr>
            <w:tcW w:type="dxa" w:w="158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主要证据</w:t>
            </w:r>
          </w:p>
        </w:tc>
        <w:tc>
          <w:tcPr>
            <w:tcW w:type="dxa" w:w="230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A0、A1、A5、A7、A8、A11</w:t>
            </w:r>
          </w:p>
        </w:tc>
        <w:tc>
          <w:tcPr>
            <w:tcW w:type="dxa" w:w="3888"/>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证明数据稳定、样本公平、时间无泄漏、主模型性能和统计差异。</w:t>
            </w:r>
          </w:p>
        </w:tc>
        <w:tc>
          <w:tcPr>
            <w:tcW w:type="dxa" w:w="1728"/>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可以；正文结论必须优先依据这些结果。</w:t>
            </w:r>
          </w:p>
        </w:tc>
      </w:tr>
      <w:tr>
        <w:trPr>
          <w:cantSplit w:val="true"/>
        </w:trPr>
        <w:tc>
          <w:tcPr>
            <w:tcW w:type="dxa" w:w="158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稳健性/敏感性</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A2、A3、A4、A9、A10</w:t>
            </w:r>
          </w:p>
        </w:tc>
        <w:tc>
          <w:tcPr>
            <w:tcW w:type="dxa" w:w="38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检查规则或数据质量变化后，结论是否仍成立。</w:t>
            </w:r>
          </w:p>
        </w:tc>
        <w:tc>
          <w:tcPr>
            <w:tcW w:type="dxa" w:w="172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用于限定结论和增强可信度，不能取代主benchmark。</w:t>
            </w:r>
          </w:p>
        </w:tc>
      </w:tr>
      <w:tr>
        <w:trPr>
          <w:cantSplit w:val="true"/>
        </w:trPr>
        <w:tc>
          <w:tcPr>
            <w:tcW w:type="dxa" w:w="158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接口与补充证据</w:t>
            </w:r>
          </w:p>
        </w:tc>
        <w:tc>
          <w:tcPr>
            <w:tcW w:type="dxa" w:w="230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A6、A12、A13</w:t>
            </w:r>
          </w:p>
        </w:tc>
        <w:tc>
          <w:tcPr>
            <w:tcW w:type="dxa" w:w="388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验证管线能运行，解释旧最终周，记录复现成本。</w:t>
            </w:r>
          </w:p>
        </w:tc>
        <w:tc>
          <w:tcPr>
            <w:tcW w:type="dxa" w:w="172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不能单独证明模型优越；通常放方法、补充材料或讨论。</w:t>
            </w:r>
          </w:p>
        </w:tc>
      </w:tr>
    </w:tbl>
    <w:p>
      <w:pPr>
        <w:spacing w:after="80" w:line="276" w:lineRule="auto"/>
      </w:pPr>
    </w:p>
    <w:p>
      <w:pPr>
        <w:pStyle w:val="Heading3"/>
        <w:keepNext/>
        <w:spacing w:after="80" w:line="276" w:lineRule="auto" w:before="160"/>
      </w:pPr>
      <w:r>
        <w:rPr>
          <w:rFonts w:ascii="SimHei" w:hAnsi="SimHei" w:eastAsia="SimHei" w:cs="SimHei"/>
          <w:b w:val="0"/>
          <w:color w:val="000000"/>
          <w:sz w:val="23"/>
        </w:rPr>
        <w:t>4.5.2 为什么必须按这个顺序执行</w:t>
      </w:r>
    </w:p>
    <w:p>
      <w:pPr>
        <w:spacing w:after="60" w:line="276" w:lineRule="auto"/>
        <w:ind w:left="0" w:firstLine="0"/>
      </w:pPr>
      <w:r>
        <w:rPr>
          <w:rFonts w:ascii="SimHei" w:hAnsi="SimHei" w:eastAsia="SimHei" w:cs="SimHei"/>
          <w:color w:val="000000"/>
          <w:sz w:val="21"/>
        </w:rPr>
        <w:t>1. 先停止写入并冻结快照，否则后面所有样本数、哈希和结果都可能变化。</w:t>
      </w:r>
    </w:p>
    <w:p>
      <w:pPr>
        <w:spacing w:after="60" w:line="276" w:lineRule="auto"/>
        <w:ind w:left="0" w:firstLine="0"/>
      </w:pPr>
      <w:r>
        <w:rPr>
          <w:rFonts w:ascii="SimHei" w:hAnsi="SimHei" w:eastAsia="SimHei" w:cs="SimHei"/>
          <w:color w:val="000000"/>
          <w:sz w:val="21"/>
        </w:rPr>
        <w:t>2. 再重建完整网格和资格规则，否则不知道缺失发生在哪一步。</w:t>
      </w:r>
    </w:p>
    <w:p>
      <w:pPr>
        <w:spacing w:after="60" w:line="276" w:lineRule="auto"/>
        <w:ind w:left="0" w:firstLine="0"/>
      </w:pPr>
      <w:r>
        <w:rPr>
          <w:rFonts w:ascii="SimHei" w:hAnsi="SimHei" w:eastAsia="SimHei" w:cs="SimHei"/>
          <w:color w:val="000000"/>
          <w:sz w:val="21"/>
        </w:rPr>
        <w:t>3. 再定义目标、fold和共同manifest，否则模型比较不公平或存在时间泄漏。</w:t>
      </w:r>
    </w:p>
    <w:p>
      <w:pPr>
        <w:spacing w:after="60" w:line="276" w:lineRule="auto"/>
        <w:ind w:left="0" w:firstLine="0"/>
      </w:pPr>
      <w:r>
        <w:rPr>
          <w:rFonts w:ascii="SimHei" w:hAnsi="SimHei" w:eastAsia="SimHei" w:cs="SimHei"/>
          <w:color w:val="000000"/>
          <w:sz w:val="21"/>
        </w:rPr>
        <w:t>4. 先做冒烟实验，只验证接口、文件和指标是否正确，不对模型优劣下结论。</w:t>
      </w:r>
    </w:p>
    <w:p>
      <w:pPr>
        <w:spacing w:after="60" w:line="276" w:lineRule="auto"/>
        <w:ind w:left="0" w:firstLine="0"/>
      </w:pPr>
      <w:r>
        <w:rPr>
          <w:rFonts w:ascii="SimHei" w:hAnsi="SimHei" w:eastAsia="SimHei" w:cs="SimHei"/>
          <w:color w:val="000000"/>
          <w:sz w:val="21"/>
        </w:rPr>
        <w:t>5. 主benchmark通过后，再做稳定性、质量分层、节点诊断和统计检验。</w:t>
      </w:r>
    </w:p>
    <w:p>
      <w:pPr>
        <w:spacing w:after="60" w:line="276" w:lineRule="auto"/>
        <w:ind w:left="0" w:firstLine="0"/>
      </w:pPr>
      <w:r>
        <w:rPr>
          <w:rFonts w:ascii="SimHei" w:hAnsi="SimHei" w:eastAsia="SimHei" w:cs="SimHei"/>
          <w:color w:val="000000"/>
          <w:sz w:val="21"/>
        </w:rPr>
        <w:t>6. 最后才比较已暴露的旧最终周，并把它降级为历史补充证据。</w:t>
      </w:r>
    </w:p>
    <w:p>
      <w:pPr>
        <w:spacing w:after="60" w:line="276" w:lineRule="auto"/>
        <w:ind w:left="0" w:firstLine="0"/>
      </w:pPr>
      <w:r>
        <w:rPr>
          <w:rFonts w:ascii="SimHei" w:hAnsi="SimHei" w:eastAsia="SimHei" w:cs="SimHei"/>
          <w:color w:val="000000"/>
          <w:sz w:val="21"/>
        </w:rPr>
        <w:t>7. 全部结果冻结后再写Abstract、Results、Discussion和Conclusion，避免先写结论后找数字。</w:t>
      </w:r>
    </w:p>
    <w:p>
      <w:pPr>
        <w:pStyle w:val="Heading3"/>
        <w:keepNext/>
        <w:spacing w:after="80" w:line="276" w:lineRule="auto" w:before="160"/>
      </w:pPr>
      <w:r>
        <w:rPr>
          <w:rFonts w:ascii="SimHei" w:hAnsi="SimHei" w:eastAsia="SimHei" w:cs="SimHei"/>
          <w:b w:val="0"/>
          <w:color w:val="000000"/>
          <w:sz w:val="23"/>
        </w:rPr>
        <w:t>4.5.3 建议的实验—研究问题—图表对应关系</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val="true"/>
        </w:trPr>
        <w:tc>
          <w:tcPr>
            <w:tcW w:type="dxa" w:w="144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实验</w:t>
            </w:r>
          </w:p>
        </w:tc>
        <w:tc>
          <w:tcPr>
            <w:tcW w:type="dxa" w:w="288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主要回答</w:t>
            </w:r>
          </w:p>
        </w:tc>
        <w:tc>
          <w:tcPr>
            <w:tcW w:type="dxa" w:w="3168"/>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主要输出</w:t>
            </w:r>
          </w:p>
        </w:tc>
        <w:tc>
          <w:tcPr>
            <w:tcW w:type="dxa" w:w="2016"/>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论文位置</w:t>
            </w:r>
          </w:p>
        </w:tc>
      </w:tr>
      <w:tr>
        <w:trPr>
          <w:cantSplit w:val="true"/>
        </w:trPr>
        <w:tc>
          <w:tcPr>
            <w:tcW w:type="dxa" w:w="144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A0–A4</w:t>
            </w:r>
          </w:p>
        </w:tc>
        <w:tc>
          <w:tcPr>
            <w:tcW w:type="dxa" w:w="288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数据能否形成合格、可追溯的预测样本？</w:t>
            </w:r>
          </w:p>
        </w:tc>
        <w:tc>
          <w:tcPr>
            <w:tcW w:type="dxa" w:w="3168"/>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快照、理论网格、资格流失、聚合和标签敏感性。</w:t>
            </w:r>
          </w:p>
        </w:tc>
        <w:tc>
          <w:tcPr>
            <w:tcW w:type="dxa" w:w="2016"/>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Methods 4.1–4.4；Results 5.1；Fig.2；Tables 1–3。</w:t>
            </w:r>
          </w:p>
        </w:tc>
      </w:tr>
      <w:tr>
        <w:trPr>
          <w:cantSplit w:val="true"/>
        </w:trPr>
        <w:tc>
          <w:tcPr>
            <w:tcW w:type="dxa" w:w="144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A5–A8</w:t>
            </w:r>
          </w:p>
        </w:tc>
        <w:tc>
          <w:tcPr>
            <w:tcW w:type="dxa" w:w="28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模型是否在共同样本和六折时间评价中准确且稳定？</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manifest、泄漏审计、冒烟、正式benchmark、折间稳定性。</w:t>
            </w:r>
          </w:p>
        </w:tc>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Methods 4.5–4.9；Results 5.2–5.3；Figs.3–5；Tables 4–6。</w:t>
            </w:r>
          </w:p>
        </w:tc>
      </w:tr>
      <w:tr>
        <w:trPr>
          <w:cantSplit w:val="true"/>
        </w:trPr>
        <w:tc>
          <w:tcPr>
            <w:tcW w:type="dxa" w:w="144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A9–A11</w:t>
            </w:r>
          </w:p>
        </w:tc>
        <w:tc>
          <w:tcPr>
            <w:tcW w:type="dxa" w:w="28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预测在什么质量、节点和时间条件下失效？差异是否可靠？</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质量分层、节点/日期诊断、配对统计和置信区间。</w:t>
            </w:r>
          </w:p>
        </w:tc>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 5.4–5.6；Figs.6–8；Tables 7–9。</w:t>
            </w:r>
          </w:p>
        </w:tc>
      </w:tr>
      <w:tr>
        <w:trPr>
          <w:cantSplit w:val="true"/>
        </w:trPr>
        <w:tc>
          <w:tcPr>
            <w:tcW w:type="dxa" w:w="144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A12–A13</w:t>
            </w:r>
          </w:p>
        </w:tc>
        <w:tc>
          <w:tcPr>
            <w:tcW w:type="dxa" w:w="288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旧最终周和复现成本应如何解释？</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历史比较、运行清单、哈希、环境和效率。</w:t>
            </w:r>
          </w:p>
        </w:tc>
        <w:tc>
          <w:tcPr>
            <w:tcW w:type="dxa" w:w="2016"/>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Results补充；Discussion；Supplementary Information。</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AJSE-A0 稳定快照与数据来源审计</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确认实验使用的是一个不会再变化的数据版本，并明确每个文件从哪里来。</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先给数据“拍一张定妆照”。只要后台程序还在写文件，今天和明天得到的样本数就可能不同，任何结果都不能正式写入论文。</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原始FCD目录、中间数据目录、最终面板目录、运行日志、进程状态、文件修改时间。</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停止或等待所有写入任务结束；生成文件清单、大小、时间戳和SHA-256；记录快照时间；确认51节点、日期范围、时区和唯一键。</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snapshot_manifest.csv、hashes.txt、process_check.txt、data_lineage.md。</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结果目录无活动写入；同一文件重复计算哈希一致；节点、时间和文件数与数据合同一致。</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Methods中的Data sources and reproducibility；Supplementary中的provenance和checksum。</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A0只证明数据版本稳定，不证明数据本身完整，也不证明模型准确。</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AJSE-A1 完整理论时间网格与数据流失审计</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计算理论上应该存在的node×15-min和node×hour记录，并区分真正缺失、低质量记录和聚合不足。</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不能只数“现有文件里有多少行”，因为没有出现的时间戳本身就是信息。要先把所有应该出现的格子补出来，再看哪些格子是空的。</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冻结节点清单、开始/结束时间、15分钟频率、原始FCD唯一键。</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建立节点和时间的笛卡尔积；左连接原始记录；标记observed、timestamp-missing、duplicate、quality-ineligible和hourly-ineligible。</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完整网格、节点/日期覆盖率、数据流失漏斗、缺失热图、重复记录清单。</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理论行数可由公式复算；每一步行数守恒；无未解释的节点或时间；重复处理可追溯。</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Methods 4.2；Results 5.1；Fig.2(a–d)；Table 2。</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覆盖率高不等于预测一定准确；网格审计只回答数据存在性和资格问题。</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AJSE-A2 数据资格规则冻结</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在看正式模型结果之前，固定confidence、速度范围、provider status和异常记录处理规则。</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先写清楚“什么数据能进考场”。如果看完模型成绩再改confidence或速度上限，就有后验挑规则的嫌疑。</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原始字段分布、TomTom字段定义、道路工程常识、异常记录样例。</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记录主阈值和理由；对低confidence、负速度、极高速度、缺失状态分别定义保留/排除/仅标记策略；不得把缺失status伪造成normal。</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data_contract.yaml、资格前后记录数、阈值敏感性配置和规则版本号。</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所有阈值在正式benchmark前冻结；代码与文档一致；任何排除都能追溯到具体规则。</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Methods 4.3；Table 1；Supplementary Methods。</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本研究的confidence阈值不能宣称为适用于所有提供商和所有道路的普遍标准。</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AJSE-A3 小时聚合规则敏感性</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比较2/4、3/4和4/4有效15分钟槽位规则对样本量、速度统计和预测性能的影响。</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一个小时有4个15分钟观测。要求至少2个、3个或4个才算有效，会在“样本多”和“数据更完整”之间形成不同取舍。</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通过A2资格的15分钟记录。</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主规则建议2/4；敏感性为3/4和4/4；聚合统计量先冻结为算术平均；必要时中位数仅作为补充。</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各规则下有效小时数、节点保留率、速度差异和主模型性能变化。</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三个规则使用相同日期、节点和资格字段；差异仅来自有效槽位门槛；样本流失可解释。</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Methods 4.3；Results 5.1和5.6；Fig.7；Table 8。</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样本更多的2/4不一定最好，样本更严格的4/4也不自动更真实；需要结合稳定性解释。</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AJSE-A4 预测目标和标签有效性敏感性</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固定H1、H3、H6目标的时间定义，并检查H6采用5/6或6/6有效小时规则时结论是否变化。</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必须说清楚“预测未来第6个小时”还是“预测未来6小时平均速度”。本文建议采用未来窗口平均速度，并明确窗口中允许缺几个小时。</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小时速度面板、预测起点、H={1,3,6}。</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定义target_start和target_end；H1/H3/H6按统一公式生成；主H6标签至少5/6有效，敏感性要求6/6；禁止目标跨fold边界。</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每个horizon的合格标签数、目标分布、5/6与6/6差异和边界样本清单。</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每个sample的目标窗口长度正确；无未来窗口越界；公式、代码、manifest和图表口径一致。</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Methods 4.4；Table 3；敏感性放Results 5.6或SI。</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不同目标定义不可直接与其他论文数值横向比较，除非预测对象和窗口完全一致。</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AJSE-A5 共同Sample Manifest与全样本防泄漏审计</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为所有模型建立完全相同的预测样本清单，并逐样本检查历史、目标、fold和训练统计量边界。</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所有模型必须做同一套试卷，而且每一道题都不能在输入中出现答案或未来提示。</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小时面板、历史窗口、目标窗口、六折边界、资格规则。</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生成唯一sample_id；记录node、origin、history_start/end、target_start/end、fold和质量字段；执行全部时间断言、train-only统计量检查和共同样本比对。</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sample_manifest.parquet/csv、assertion_report.csv、common_sample_hash.txt、失败样本清单。</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sample_id唯一；history_end&lt;target_start；最长H6目标不跨验证边界；各模型正式评价sample集合一致；全部关键断言通过。</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Methods 4.5、4.9；Fig.3；Table 4和Table 8。</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审计通过只说明设计无明显泄漏，不代表模型没有过拟合或数据没有测量误差。</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AJSE-A6 模型接口冒烟实验</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用少量样本或少量折验证HA、Persistence、XGBoost等模型的输入输出、指标和文件格式是否正确。</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这一步相当于开机检查。目的是确认管道能跑、结果能复算，不是为了决定谁是最好模型。</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A5生成的少量训练/验证样本、固定配置和随机种子。</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检查特征维度、目标对齐、预测行数、指标重算、NaN/Inf、文件schema和运行日志；不做正式模型结论。</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smoke_predictions、smoke_metrics、schema_check、recompute_check。</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预测行数与manifest一致；独立重算指标一致；无未来字段；所有模型接口可复用。</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通常不作为Results；可在Methods或Supplementary说明质量控制。</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冒烟结果不能作为正式benchmark、模型排名或统计显著性证据。</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AJSE-A7 六折多时距正式Benchmark</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在共同样本上比较有限数量的基线和模型在H1、H3、H6上的精度。</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这是文章的主比赛，但比赛规则已经由A0–A5提前固定。每个模型在六个连续时间段上都要接受检验。</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冻结manifest、六折配置、模型注册表、训练期特征和目标。</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每折独立拟合scaler/imputer/HA/模型；超参数只用训练/验证信息；报告MAE、RMSE、sMAPE、R²、Bias和N；模型建议控制在4–6种。</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fold×model×horizon指标、逐样本预测、配置、日志、种子和运行时间。</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六折全部完成；共同样本数一致；指标可从预测文件重算；无失败折被静默删除；模型选择过程可追溯。</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 5.2；Fig.4；Table 5。</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平均MAE最低不等于在所有折、节点和质量条件下都最好，也不等于复杂模型具有普遍优势。</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AJSE-A8 跨折稳定性与排名一致性</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判断模型优势是否跨时间稳定，还是被单个容易或困难的fold驱动。</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不能只看六次考试的平均分，还要看哪一次最差、排名是否经常换、模型有没有突然失灵。</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A7的每折指标和逐样本预测。</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计算fold均值、标准差、最差折、最佳/最差差距、胜率和排名；必要时报告rank correlation或Friedman整体比较。</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fold分布图、排名热图、最差折表、模型胜率。</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每一折都被报告；不存在仅选择有利折的情况；平均性能与最差性能同时解释。</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 5.3；Fig.5；Table 6。</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折间波动不能直接解释为季节效应，因为数据期短且可能同时受多种未观测因素影响。</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AJSE-A9 数据质量分层与可靠性边界</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检验coverage、confidence、连续缺失和历史有效数变化时，预测误差是否系统性增加。</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回答“数据差到什么程度以后，模型开始不靠谱”。这是实际部署比单一平均MAE更需要的信息。</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逐样本预测误差和manifest中的质量字段。</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阈值优先预注册或按训练数据分位数确定；按相同sample配对或node-day汇总；报告每层N、误差和置信区间；避免样本极不平衡。</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coverage/gap/confidence分层表、误差曲线、可用/谨慎/不建议区间。</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分层规则不使用测试误差后验挑选；每层样本足够；结论在多个fold或节点中有一致方向。</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 5.4；Fig.6；Table 7；Discussion中的部署边界。</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观察到低coverage与高误差相关，不代表低coverage单独“造成”误差；只能使用关联性语言。</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AJSE-A10 节点、日期和交通状态诊断</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找出误差集中在哪些节点、日期、时段或速度/波动状态，并识别最差案例。</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平均值可能把局部问题盖住。要看是不是某几个节点一直很差，或者某几天所有模型都失灵。</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逐样本预测、节点顺序、日期、小时、速度、波动和质量字段。</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生成node×horizon误差热图、daily error、weekday/weekend、低速/高波动分层；选择典型案例必须使用预先定义的规则。</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节点热图、日误差曲线、典型节点预测—观测图、最差样本清单。</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节点编号与地图一致；案例选择不只挑最漂亮结果；每个分层报告样本量。</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 5.5；Figs.7–8；Supplementary完整节点结果。</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某节点误差高不能直接归因于道路几何、事故或天气，除非有对应数据和分析支持。</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AJSE-A11 配对统计、移动块Bootstrap与工程意义</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判断模型差异是否稳定、置信区间是否跨零，并区分统计显著与实际有用。</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两个模型差0.01 km/h即使统计上显著，也可能没有工程价值；反过来，差异方向一致但样本相关性强时，普通t检验可能过于乐观。</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共同sample上的绝对误差/平方误差、node-day或day汇总、模型配对。</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优先按node-day或保留全节点的24小时移动块Bootstrap；多模型使用Friedman/配对Wilcoxon并进行Holm校正；同时报告ΔMAE、95%CI和效果大小。</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配对差异表、Bootstrap分布、校正后p值、工程阈值解释。</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比较使用共同样本；统计单位考虑时间/空间依赖；多重比较已校正；实际差值和CI完整报告。</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 5.6；Table 9；Discussion解释“显著但很小”或“方向不稳定”。</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p&lt;0.05不等于模型具有重大工程优势；p≥0.05也不等于两个模型完全相同。</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AJSE-A12 已暴露最终周的历史补充比较</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透明展示2026-02-22至2026-02-28旧结果与六折主结论是否一致，但不把该周当独立盲测。</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这周的数据还能看，但证据等级降低。它更像“以前开发时看过的一次历史考试”，不能再说是从未见过的最终考试。</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旧Phase 13/15预测文件、旧配置、当前六折模型结果和证据暴露清单。</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明确标注previously exposed；只做描述性或一致性比较；若与六折冲突，以六折为主；不得用该周重新选模型或阈值。</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旧周与rolling-origin结果对照、差异说明、证据等级声明。</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正文和图表不出现blind/unseen/external test；旧周不参与主模型选择；冲突被透明报告。</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Results末段或Supplementary；Discussion中的研究过程限制。</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不能宣称独立外部验证、未见测试集或最终盲测成功。</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AJSE-A13 可复现性、运行效率与最终一致性审计</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val="true"/>
        </w:trPr>
        <w:tc>
          <w:tcPr>
            <w:tcW w:type="dxa" w:w="194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项目</w:t>
            </w:r>
          </w:p>
        </w:tc>
        <w:tc>
          <w:tcPr>
            <w:tcW w:type="dxa" w:w="7560"/>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详细说明</w:t>
            </w:r>
          </w:p>
        </w:tc>
      </w:tr>
      <w:tr>
        <w:trPr>
          <w:cantSplit w:val="true"/>
        </w:trPr>
        <w:tc>
          <w:tcPr>
            <w:tcW w:type="dxa" w:w="194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研究目的</w:t>
            </w:r>
          </w:p>
        </w:tc>
        <w:tc>
          <w:tcPr>
            <w:tcW w:type="dxa" w:w="7560"/>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证明数据、代码、配置、图表和正文中的数字可以互相追溯，并记录实际运行成本。</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大白话解释</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别人应该能从一个表格数字找到对应预测文件、配置和脚本，而不是只能相信作者手工复制的结果。</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主要输入</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所有配置、manifest、预测、指标、图表数据、环境版本、日志和稿件表格。</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执行要点</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建立claim–evidence matrix；重算所有表图；记录软件版本、硬件、运行时间和种子；检查图表—正文—补充材料数字一致。</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主要输出</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release目录、README、environment文件、哈希、claim_evidence_matrix、final_audit_report。</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通过标准</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随机抽取或全量重算结果一致；正文数字能定位到文件；无API密钥/隐私泄漏；表图和正文无矛盾。</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写入论文</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Software and reproducibility、Data/Code Availability、Supplementary和投稿前核对。</w:t>
            </w:r>
          </w:p>
        </w:tc>
      </w:tr>
      <w:tr>
        <w:trPr>
          <w:cantSplit w:val="true"/>
        </w:trPr>
        <w:tc>
          <w:tcPr>
            <w:tcW w:type="dxa" w:w="194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不能据此主张</w:t>
            </w:r>
          </w:p>
        </w:tc>
        <w:tc>
          <w:tcPr>
            <w:tcW w:type="dxa" w:w="7560"/>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代码公开不自动证明结果可推广；复现性与外部泛化是两件不同的事。</w:t>
            </w:r>
          </w:p>
        </w:tc>
      </w:tr>
    </w:tbl>
    <w:p>
      <w:pPr>
        <w:spacing w:after="80" w:line="276" w:lineRule="auto"/>
      </w:pPr>
    </w:p>
    <w:p>
      <w:pPr>
        <w:pStyle w:val="Heading3"/>
        <w:keepNext/>
        <w:pageBreakBefore/>
        <w:spacing w:after="80" w:line="276" w:lineRule="auto" w:before="160"/>
      </w:pPr>
      <w:r>
        <w:rPr>
          <w:rFonts w:ascii="SimHei" w:hAnsi="SimHei" w:eastAsia="SimHei" w:cs="SimHei"/>
          <w:b w:val="0"/>
          <w:color w:val="000000"/>
          <w:sz w:val="23"/>
        </w:rPr>
        <w:t>4.5.4 每个实验结束后应立即保存的最小结果包</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val="true"/>
        </w:trPr>
        <w:tc>
          <w:tcPr>
            <w:tcW w:type="dxa" w:w="1584"/>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类别</w:t>
            </w:r>
          </w:p>
        </w:tc>
        <w:tc>
          <w:tcPr>
            <w:tcW w:type="dxa" w:w="4752"/>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必须保存的文件</w:t>
            </w:r>
          </w:p>
        </w:tc>
        <w:tc>
          <w:tcPr>
            <w:tcW w:type="dxa" w:w="3168"/>
            <w:vAlign w:val="center"/>
            <w:tcMar>
              <w:top w:w="80" w:type="dxa"/>
              <w:start w:w="90" w:type="dxa"/>
              <w:bottom w:w="80" w:type="dxa"/>
              <w:end w:w="90" w:type="dxa"/>
            </w:tcMar>
            <w:shd w:val="clear" w:fill="FFFFFF"/>
          </w:tcPr>
          <w:p>
            <w:pPr>
              <w:keepNext/>
              <w:spacing w:before="0" w:after="40" w:line="259" w:lineRule="auto"/>
            </w:pPr>
            <w:r>
              <w:rPr>
                <w:rFonts w:ascii="SimHei" w:hAnsi="SimHei" w:eastAsia="SimHei" w:cs="SimHei"/>
                <w:b/>
                <w:color w:val="000000"/>
                <w:sz w:val="19"/>
              </w:rPr>
              <w:t>原因</w:t>
            </w:r>
          </w:p>
        </w:tc>
      </w:tr>
      <w:tr>
        <w:trPr>
          <w:cantSplit w:val="true"/>
        </w:trPr>
        <w:tc>
          <w:tcPr>
            <w:tcW w:type="dxa" w:w="1584"/>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配置</w:t>
            </w:r>
          </w:p>
        </w:tc>
        <w:tc>
          <w:tcPr>
            <w:tcW w:type="dxa" w:w="4752"/>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数据规则、fold、模型、超参数、随机种子和软件环境。</w:t>
            </w:r>
          </w:p>
        </w:tc>
        <w:tc>
          <w:tcPr>
            <w:tcW w:type="dxa" w:w="3168"/>
            <w:vAlign w:val="center"/>
            <w:tcMar>
              <w:top w:w="80" w:type="dxa"/>
              <w:start w:w="90" w:type="dxa"/>
              <w:bottom w:w="80" w:type="dxa"/>
              <w:end w:w="90" w:type="dxa"/>
            </w:tcMar>
            <w:shd w:val="clear" w:fill="FFFFFF"/>
          </w:tcPr>
          <w:p>
            <w:pPr>
              <w:keepLines/>
              <w:spacing w:before="0" w:after="40" w:line="259" w:lineRule="auto"/>
            </w:pPr>
            <w:r>
              <w:rPr>
                <w:rFonts w:ascii="SimHei" w:hAnsi="SimHei" w:eastAsia="SimHei" w:cs="SimHei"/>
                <w:b w:val="0"/>
                <w:color w:val="000000"/>
                <w:sz w:val="19"/>
              </w:rPr>
              <w:t>防止后续无法解释某个结果使用了哪套规则。</w:t>
            </w:r>
          </w:p>
        </w:tc>
      </w:tr>
      <w:tr>
        <w:trPr>
          <w:cantSplit w:val="true"/>
        </w:trPr>
        <w:tc>
          <w:tcPr>
            <w:tcW w:type="dxa" w:w="158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样本</w:t>
            </w:r>
          </w:p>
        </w:tc>
        <w:tc>
          <w:tcPr>
            <w:tcW w:type="dxa" w:w="475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sample manifest、共同样本哈希、训练/验证边界。</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证明模型比较公平且没有时间越界。</w:t>
            </w:r>
          </w:p>
        </w:tc>
      </w:tr>
      <w:tr>
        <w:trPr>
          <w:cantSplit w:val="true"/>
        </w:trPr>
        <w:tc>
          <w:tcPr>
            <w:tcW w:type="dxa" w:w="158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预测</w:t>
            </w:r>
          </w:p>
        </w:tc>
        <w:tc>
          <w:tcPr>
            <w:tcW w:type="dxa" w:w="475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包含sample_id、观测值、预测值、model、fold、horizon，不提前写入后验选择信息。</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所有指标和统计都应能从逐样本预测重算。</w:t>
            </w:r>
          </w:p>
        </w:tc>
      </w:tr>
      <w:tr>
        <w:trPr>
          <w:cantSplit w:val="true"/>
        </w:trPr>
        <w:tc>
          <w:tcPr>
            <w:tcW w:type="dxa" w:w="158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指标</w:t>
            </w:r>
          </w:p>
        </w:tc>
        <w:tc>
          <w:tcPr>
            <w:tcW w:type="dxa" w:w="475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fold级、horizon级、node级和质量分层结果，带N和单位。</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防止只保留平均值而丢失稳定性信息。</w:t>
            </w:r>
          </w:p>
        </w:tc>
      </w:tr>
      <w:tr>
        <w:trPr>
          <w:cantSplit w:val="true"/>
        </w:trPr>
        <w:tc>
          <w:tcPr>
            <w:tcW w:type="dxa" w:w="158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审计</w:t>
            </w:r>
          </w:p>
        </w:tc>
        <w:tc>
          <w:tcPr>
            <w:tcW w:type="dxa" w:w="475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断言报告、失败样本、哈希和日志。</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证明管线执行状态，而不是只展示最终图。</w:t>
            </w:r>
          </w:p>
        </w:tc>
      </w:tr>
      <w:tr>
        <w:trPr>
          <w:cantSplit w:val="true"/>
        </w:trPr>
        <w:tc>
          <w:tcPr>
            <w:tcW w:type="dxa" w:w="1584"/>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图表数据</w:t>
            </w:r>
          </w:p>
        </w:tc>
        <w:tc>
          <w:tcPr>
            <w:tcW w:type="dxa" w:w="4752"/>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每幅图对应的CSV/Parquet和生成脚本。</w:t>
            </w:r>
          </w:p>
        </w:tc>
        <w:tc>
          <w:tcPr>
            <w:tcW w:type="dxa" w:w="3168"/>
            <w:vAlign w:val="center"/>
            <w:tcMar>
              <w:top w:w="80" w:type="dxa"/>
              <w:start w:w="90" w:type="dxa"/>
              <w:bottom w:w="80" w:type="dxa"/>
              <w:end w:w="90" w:type="dxa"/>
            </w:tcMar>
            <w:shd w:val="clear" w:fill="FFFFFF"/>
          </w:tcPr>
          <w:p>
            <w:pPr>
              <w:spacing w:before="0" w:after="40" w:line="259" w:lineRule="auto"/>
            </w:pPr>
            <w:r>
              <w:rPr>
                <w:rFonts w:ascii="SimHei" w:hAnsi="SimHei" w:eastAsia="SimHei" w:cs="SimHei"/>
                <w:b w:val="0"/>
                <w:color w:val="000000"/>
                <w:sz w:val="19"/>
              </w:rPr>
              <w:t>保证图和表不是手工修改出来的。</w:t>
            </w:r>
          </w:p>
        </w:tc>
      </w:tr>
    </w:tbl>
    <w:p>
      <w:pPr>
        <w:spacing w:after="80" w:line="276" w:lineRule="auto"/>
      </w:pPr>
    </w:p>
    <w:p>
      <w:pPr>
        <w:pStyle w:val="Heading3"/>
        <w:keepNext/>
        <w:spacing w:after="80" w:line="276" w:lineRule="auto" w:before="160"/>
      </w:pPr>
      <w:r>
        <w:rPr>
          <w:rFonts w:ascii="SimHei" w:hAnsi="SimHei" w:eastAsia="SimHei" w:cs="SimHei"/>
          <w:b w:val="0"/>
          <w:color w:val="000000"/>
          <w:sz w:val="23"/>
        </w:rPr>
        <w:t>4.5.5 实验结果写入论文时的统一表达顺序</w:t>
      </w:r>
    </w:p>
    <w:p>
      <w:pPr>
        <w:spacing w:after="60" w:line="276" w:lineRule="auto"/>
        <w:ind w:left="0" w:firstLine="0"/>
      </w:pPr>
      <w:r>
        <w:rPr>
          <w:rFonts w:ascii="SimHei" w:hAnsi="SimHei" w:eastAsia="SimHei" w:cs="SimHei"/>
          <w:color w:val="000000"/>
          <w:sz w:val="21"/>
        </w:rPr>
        <w:t>1. 先报告样本数量和适用范围，再报告性能数字。</w:t>
      </w:r>
    </w:p>
    <w:p>
      <w:pPr>
        <w:spacing w:after="60" w:line="276" w:lineRule="auto"/>
        <w:ind w:left="0" w:firstLine="0"/>
      </w:pPr>
      <w:r>
        <w:rPr>
          <w:rFonts w:ascii="SimHei" w:hAnsi="SimHei" w:eastAsia="SimHei" w:cs="SimHei"/>
          <w:color w:val="000000"/>
          <w:sz w:val="21"/>
        </w:rPr>
        <w:t>2. 先报告六折总体趋势，再报告最佳、最差和异常折。</w:t>
      </w:r>
    </w:p>
    <w:p>
      <w:pPr>
        <w:spacing w:after="60" w:line="276" w:lineRule="auto"/>
        <w:ind w:left="0" w:firstLine="0"/>
      </w:pPr>
      <w:r>
        <w:rPr>
          <w:rFonts w:ascii="SimHei" w:hAnsi="SimHei" w:eastAsia="SimHei" w:cs="SimHei"/>
          <w:color w:val="000000"/>
          <w:sz w:val="21"/>
        </w:rPr>
        <w:t>3. 先报告实际误差差值和置信区间，再报告p值。</w:t>
      </w:r>
    </w:p>
    <w:p>
      <w:pPr>
        <w:spacing w:after="60" w:line="276" w:lineRule="auto"/>
        <w:ind w:left="0" w:firstLine="0"/>
      </w:pPr>
      <w:r>
        <w:rPr>
          <w:rFonts w:ascii="SimHei" w:hAnsi="SimHei" w:eastAsia="SimHei" w:cs="SimHei"/>
          <w:color w:val="000000"/>
          <w:sz w:val="21"/>
        </w:rPr>
        <w:t>4. 先说明结果在哪些条件下成立，再讨论可能原因。</w:t>
      </w:r>
    </w:p>
    <w:p>
      <w:pPr>
        <w:spacing w:after="60" w:line="276" w:lineRule="auto"/>
        <w:ind w:left="0" w:firstLine="0"/>
      </w:pPr>
      <w:r>
        <w:rPr>
          <w:rFonts w:ascii="SimHei" w:hAnsi="SimHei" w:eastAsia="SimHei" w:cs="SimHei"/>
          <w:color w:val="000000"/>
          <w:sz w:val="21"/>
        </w:rPr>
        <w:t>5. 所有“better、improved、robust、reliable”后面都必须有明确的参照模型、指标、样本和证据。</w:t>
      </w:r>
    </w:p>
    <w:p>
      <w:pPr>
        <w:spacing w:after="60" w:line="276" w:lineRule="auto"/>
        <w:ind w:left="0" w:firstLine="0"/>
      </w:pPr>
      <w:r>
        <w:rPr>
          <w:rFonts w:ascii="SimHei" w:hAnsi="SimHei" w:eastAsia="SimHei" w:cs="SimHei"/>
          <w:color w:val="000000"/>
          <w:sz w:val="21"/>
        </w:rPr>
        <w:t>6. 当不同实验结论冲突时，优先级为：冻结的主要六折证据 &gt; 预注册稳健性 &gt; 探索性分层 &gt; 已暴露历史周。</w:t>
      </w:r>
    </w:p>
    <w:p>
      <w:pPr>
        <w:spacing w:after="80" w:line="276" w:lineRule="auto"/>
        <w:ind w:left="369" w:hanging="369"/>
        <w:widowControl w:val="1"/>
      </w:pPr>
      <w:r>
        <w:rPr>
          <w:rFonts w:ascii="SimHei" w:hAnsi="SimHei" w:eastAsia="SimHei" w:cs="SimHei"/>
          <w:b/>
          <w:color w:val="000000"/>
          <w:sz w:val="21"/>
        </w:rPr>
        <w:t xml:space="preserve">5. </w:t>
      </w:r>
      <w:r>
        <w:rPr>
          <w:rFonts w:ascii="SimHei" w:hAnsi="SimHei" w:eastAsia="SimHei" w:cs="SimHei"/>
          <w:color w:val="000000"/>
          <w:sz w:val="21"/>
        </w:rPr>
      </w:r>
      <w:r>
        <w:rPr>
          <w:rFonts w:ascii="SimHei" w:hAnsi="SimHei" w:eastAsia="SimHei" w:cs="SimHei"/>
          <w:color w:val="000000"/>
          <w:sz w:val="21"/>
        </w:rPr>
        <w:t>全文详细写作大纲（段落级）</w:t>
      </w:r>
    </w:p>
    <w:p>
      <w:pPr>
        <w:spacing w:after="80" w:line="276" w:lineRule="auto"/>
        <w:ind w:left="369" w:hanging="369"/>
        <w:widowControl w:val="1"/>
      </w:pPr>
      <w:r>
        <w:rPr>
          <w:rFonts w:ascii="SimHei" w:hAnsi="SimHei" w:eastAsia="SimHei" w:cs="SimHei"/>
          <w:b/>
          <w:color w:val="000000"/>
          <w:sz w:val="21"/>
        </w:rPr>
        <w:t xml:space="preserve">6. </w:t>
      </w:r>
      <w:r>
        <w:rPr>
          <w:rFonts w:ascii="SimHei" w:hAnsi="SimHei" w:eastAsia="SimHei" w:cs="SimHei"/>
          <w:color w:val="000000"/>
          <w:sz w:val="21"/>
        </w:rPr>
      </w:r>
      <w:r>
        <w:rPr>
          <w:rFonts w:ascii="SimHei" w:hAnsi="SimHei" w:eastAsia="SimHei" w:cs="SimHei"/>
          <w:color w:val="000000"/>
          <w:sz w:val="21"/>
        </w:rPr>
        <w:t>多子图总体设计与逐图面板规划</w:t>
      </w:r>
    </w:p>
    <w:p>
      <w:pPr>
        <w:spacing w:after="80" w:line="276" w:lineRule="auto"/>
        <w:ind w:left="369" w:hanging="369"/>
        <w:widowControl w:val="1"/>
      </w:pPr>
      <w:r>
        <w:rPr>
          <w:rFonts w:ascii="SimHei" w:hAnsi="SimHei" w:eastAsia="SimHei" w:cs="SimHei"/>
          <w:b/>
          <w:color w:val="000000"/>
          <w:sz w:val="21"/>
        </w:rPr>
        <w:t xml:space="preserve">7. </w:t>
      </w:r>
      <w:r>
        <w:rPr>
          <w:rFonts w:ascii="SimHei" w:hAnsi="SimHei" w:eastAsia="SimHei" w:cs="SimHei"/>
          <w:color w:val="000000"/>
          <w:sz w:val="21"/>
        </w:rPr>
      </w:r>
      <w:r>
        <w:rPr>
          <w:rFonts w:ascii="SimHei" w:hAnsi="SimHei" w:eastAsia="SimHei" w:cs="SimHei"/>
          <w:color w:val="000000"/>
          <w:sz w:val="21"/>
        </w:rPr>
        <w:t>主要表格与补充材料规划</w:t>
      </w:r>
    </w:p>
    <w:p>
      <w:pPr>
        <w:spacing w:after="80" w:line="276" w:lineRule="auto"/>
        <w:ind w:left="369" w:hanging="369"/>
        <w:widowControl w:val="1"/>
      </w:pPr>
      <w:r>
        <w:rPr>
          <w:rFonts w:ascii="SimHei" w:hAnsi="SimHei" w:eastAsia="SimHei" w:cs="SimHei"/>
          <w:b/>
          <w:color w:val="000000"/>
          <w:sz w:val="21"/>
        </w:rPr>
        <w:t xml:space="preserve">8. </w:t>
      </w:r>
      <w:r>
        <w:rPr>
          <w:rFonts w:ascii="SimHei" w:hAnsi="SimHei" w:eastAsia="SimHei" w:cs="SimHei"/>
          <w:color w:val="000000"/>
          <w:sz w:val="21"/>
        </w:rPr>
      </w:r>
      <w:r>
        <w:rPr>
          <w:rFonts w:ascii="SimHei" w:hAnsi="SimHei" w:eastAsia="SimHei" w:cs="SimHei"/>
          <w:color w:val="000000"/>
          <w:sz w:val="21"/>
        </w:rPr>
        <w:t>最终实验数据回填清单</w:t>
      </w:r>
    </w:p>
    <w:p>
      <w:pPr>
        <w:spacing w:after="80" w:line="276" w:lineRule="auto"/>
        <w:ind w:left="369" w:hanging="369"/>
        <w:widowControl w:val="1"/>
      </w:pPr>
      <w:r>
        <w:rPr>
          <w:rFonts w:ascii="SimHei" w:hAnsi="SimHei" w:eastAsia="SimHei" w:cs="SimHei"/>
          <w:b/>
          <w:color w:val="000000"/>
          <w:sz w:val="21"/>
        </w:rPr>
        <w:t xml:space="preserve">9. </w:t>
      </w:r>
      <w:r>
        <w:rPr>
          <w:rFonts w:ascii="SimHei" w:hAnsi="SimHei" w:eastAsia="SimHei" w:cs="SimHei"/>
          <w:color w:val="000000"/>
          <w:sz w:val="21"/>
        </w:rPr>
      </w:r>
      <w:r>
        <w:rPr>
          <w:rFonts w:ascii="SimHei" w:hAnsi="SimHei" w:eastAsia="SimHei" w:cs="SimHei"/>
          <w:color w:val="000000"/>
          <w:sz w:val="21"/>
        </w:rPr>
        <w:t>当前可写内容与必须等待内容</w:t>
      </w:r>
    </w:p>
    <w:p>
      <w:pPr>
        <w:spacing w:after="80" w:line="276" w:lineRule="auto"/>
        <w:ind w:left="369" w:hanging="369"/>
        <w:widowControl w:val="1"/>
      </w:pPr>
      <w:r>
        <w:rPr>
          <w:rFonts w:ascii="SimHei" w:hAnsi="SimHei" w:eastAsia="SimHei" w:cs="SimHei"/>
          <w:b/>
          <w:color w:val="000000"/>
          <w:sz w:val="21"/>
        </w:rPr>
        <w:t xml:space="preserve">10. </w:t>
      </w:r>
      <w:r>
        <w:rPr>
          <w:rFonts w:ascii="SimHei" w:hAnsi="SimHei" w:eastAsia="SimHei" w:cs="SimHei"/>
          <w:color w:val="000000"/>
          <w:sz w:val="21"/>
        </w:rPr>
      </w:r>
      <w:r>
        <w:rPr>
          <w:rFonts w:ascii="SimHei" w:hAnsi="SimHei" w:eastAsia="SimHei" w:cs="SimHei"/>
          <w:color w:val="000000"/>
          <w:sz w:val="21"/>
        </w:rPr>
        <w:t>实验结束后的整体校验流程</w:t>
      </w:r>
    </w:p>
    <w:p>
      <w:pPr>
        <w:spacing w:after="80" w:line="276" w:lineRule="auto"/>
        <w:ind w:left="369" w:hanging="369"/>
        <w:widowControl w:val="1"/>
      </w:pPr>
      <w:r>
        <w:rPr>
          <w:rFonts w:ascii="SimHei" w:hAnsi="SimHei" w:eastAsia="SimHei" w:cs="SimHei"/>
          <w:b/>
          <w:color w:val="000000"/>
          <w:sz w:val="21"/>
        </w:rPr>
        <w:t xml:space="preserve">11. </w:t>
      </w:r>
      <w:r>
        <w:rPr>
          <w:rFonts w:ascii="SimHei" w:hAnsi="SimHei" w:eastAsia="SimHei" w:cs="SimHei"/>
          <w:color w:val="000000"/>
          <w:sz w:val="21"/>
        </w:rPr>
      </w:r>
      <w:r>
        <w:rPr>
          <w:rFonts w:ascii="SimHei" w:hAnsi="SimHei" w:eastAsia="SimHei" w:cs="SimHei"/>
          <w:color w:val="000000"/>
          <w:sz w:val="21"/>
        </w:rPr>
        <w:t>审稿风险清单与预防性写法</w:t>
      </w:r>
    </w:p>
    <w:p>
      <w:pPr>
        <w:spacing w:after="80" w:line="276" w:lineRule="auto"/>
        <w:ind w:left="369" w:hanging="369"/>
        <w:widowControl w:val="1"/>
      </w:pPr>
      <w:r>
        <w:rPr>
          <w:rFonts w:ascii="SimHei" w:hAnsi="SimHei" w:eastAsia="SimHei" w:cs="SimHei"/>
          <w:b/>
          <w:color w:val="000000"/>
          <w:sz w:val="21"/>
        </w:rPr>
        <w:t xml:space="preserve">12. </w:t>
      </w:r>
      <w:r>
        <w:rPr>
          <w:rFonts w:ascii="SimHei" w:hAnsi="SimHei" w:eastAsia="SimHei" w:cs="SimHei"/>
          <w:color w:val="000000"/>
          <w:sz w:val="21"/>
        </w:rPr>
        <w:t>附录A. 可直接回填的英文句式骨架</w:t>
      </w:r>
    </w:p>
    <w:p>
      <w:pPr>
        <w:spacing w:after="80" w:line="276" w:lineRule="auto"/>
        <w:ind w:left="369" w:hanging="369"/>
        <w:widowControl w:val="1"/>
      </w:pPr>
      <w:r>
        <w:rPr>
          <w:rFonts w:ascii="SimHei" w:hAnsi="SimHei" w:eastAsia="SimHei" w:cs="SimHei"/>
          <w:b/>
          <w:color w:val="000000"/>
          <w:sz w:val="21"/>
        </w:rPr>
        <w:t xml:space="preserve">13. </w:t>
      </w:r>
      <w:r>
        <w:rPr>
          <w:rFonts w:ascii="SimHei" w:hAnsi="SimHei" w:eastAsia="SimHei" w:cs="SimHei"/>
          <w:color w:val="000000"/>
          <w:sz w:val="21"/>
        </w:rPr>
        <w:t>附录B. 最终交付文件和结果包目录建议</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746"/>
            <w:tcMar>
              <w:top w:w="80" w:type="dxa"/>
              <w:start w:w="90" w:type="dxa"/>
              <w:bottom w:w="80" w:type="dxa"/>
              <w:end w:w="90" w:type="dxa"/>
            </w:tcMar>
            <w:vAlign w:val="center"/>
            <w:shd w:val="clear" w:fill="FFFFFF"/>
          </w:tcPr>
          <w:p>
            <w:pPr>
              <w:pStyle w:val="Callout"/>
              <w:spacing w:before="0" w:after="40" w:line="259" w:lineRule="auto"/>
            </w:pPr>
            <w:r>
              <w:rPr>
                <w:rFonts w:ascii="SimHei" w:hAnsi="SimHei" w:eastAsia="SimHei" w:cs="SimHei"/>
                <w:b w:val="0"/>
                <w:color w:val="000000"/>
                <w:sz w:val="19"/>
              </w:rPr>
              <w:t>建议使用方式：先按第5章完成不依赖结果数值的正文；实验结束后按第8章收集结果包；再按第10章执行证据—图表—文本三向校验。</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1. 历史对话与上传材料校验结论</w:t>
      </w:r>
    </w:p>
    <w:p>
      <w:pPr>
        <w:widowControl w:val="1"/>
        <w:spacing w:after="80" w:line="276" w:lineRule="auto"/>
      </w:pPr>
      <w:r>
        <w:rPr>
          <w:rFonts w:ascii="SimHei" w:hAnsi="SimHei" w:eastAsia="SimHei" w:cs="SimHei"/>
          <w:color w:val="000000"/>
          <w:sz w:val="21"/>
        </w:rPr>
        <w:t>本章把前序对话中已经形成的判断、当前仍在运行的实验、AJSE Phase 2A 的独立整改路线，以及两份上传材料中的写作要求统一到一个可执行版本。</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trPr>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问题</w:t>
            </w:r>
          </w:p>
        </w:tc>
        <w:tc>
          <w:tcPr>
            <w:tcW w:type="dxa" w:w="238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历史状态</w:t>
            </w:r>
          </w:p>
        </w:tc>
        <w:tc>
          <w:tcPr>
            <w:tcW w:type="dxa" w:w="351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校验后的统一结论</w:t>
            </w:r>
          </w:p>
        </w:tc>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论文处理</w:t>
            </w:r>
          </w:p>
        </w:tc>
      </w:tr>
      <w:tr>
        <w:trPr>
          <w:cantSplit/>
        </w:trPr>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文章主定位</w:t>
            </w:r>
          </w:p>
        </w:tc>
        <w:tc>
          <w:tcPr>
            <w:tcW w:type="dxa" w:w="238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不是“提出新深度学习结构”的模型论文。</w:t>
            </w:r>
          </w:p>
        </w:tc>
        <w:tc>
          <w:tcPr>
            <w:tcW w:type="dxa" w:w="351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以数据完整性、滚动评价、可审核性和工程适用边界为主。</w:t>
            </w:r>
          </w:p>
        </w:tc>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保留</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旧最终周</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原拟作为2026-02-22至2026-02-28独立盲测。</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已被旧Phase 13/15预测、比较、消融与解释暴露。</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降级为 historical development comparison</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主证据</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单一最终周或原固定测试集。</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改为六折回顾性 rolling-origin；各折独立拟合。</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必须执行</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原始数据是否还能使用</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曾出现“为什么不能沿用原数据”的疑问。</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可以沿用原始FCD；受影响的是证据独立性，不是原始观测本身的有效性。</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明确声明证据等级</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v2.2 P系列与AJSE Phase 2A</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两条工程路线并行。</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P系列结果不能自动转为AJSE正式结果，除非使用同一数据合同、manifest、fold和评价样本。</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严格隔离</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理论网格与实际样本</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理论15分钟网格约406,368条；理论小时网格约101,592条。</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实际有效数须由最终数据合同和manifest决定；不能用旧数量代替新审计。</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结果回填</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节点数量</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当前研究设计为51个固定节点。</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最终论文须以冻结节点manifest和哈希为准。</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最终核验</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confidence阈值</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0.80被建议为主规则。</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尚不能在结果后选择；须在正式benchmark前冻结，并做阈值/聚合敏感性。</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待冻结</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speed_max</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Phase 2A-0阻塞项。</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缺少可靠依据时不应任意删除高速度；先标记、审计，再冻结规则。</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作者批准</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provider_status</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原数据无此字段。</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应明确“未提供，因此不作为资格条件”，不能伪造normal状态。</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固定写法</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文章边界</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与CRG-TCN/可靠性感知模型文章存在潜在重叠。</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AJSE只保留有限模型benchmark和协议创新；复杂模型结构、广泛消融、24步直接预测留给另一篇。</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必须去重</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1.1 为什么原来的数据仍可沿用</w:t>
      </w:r>
    </w:p>
    <w:p>
      <w:pPr>
        <w:pStyle w:val="ListBullet"/>
        <w:spacing w:after="80"/>
        <w:widowControl w:val="1"/>
      </w:pPr>
      <w:r>
        <w:rPr>
          <w:rFonts w:ascii="SimHei" w:hAnsi="SimHei" w:eastAsia="SimHei" w:cs="SimHei"/>
          <w:b/>
          <w:color w:val="000000"/>
          <w:sz w:val="21"/>
        </w:rPr>
        <w:t>可以沿用的部分：</w:t>
      </w:r>
      <w:r>
        <w:rPr>
          <w:rFonts w:ascii="SimHei" w:hAnsi="SimHei" w:eastAsia="SimHei" w:cs="SimHei"/>
          <w:color w:val="000000"/>
          <w:sz w:val="21"/>
        </w:rPr>
        <w:t>原始TomTom FCD、节点位置、时间戳、速度、confidence/coverage及其可审计派生变量。</w:t>
      </w:r>
    </w:p>
    <w:p>
      <w:pPr>
        <w:pStyle w:val="ListBullet"/>
        <w:spacing w:after="80"/>
        <w:widowControl w:val="1"/>
      </w:pPr>
      <w:r>
        <w:rPr>
          <w:rFonts w:ascii="SimHei" w:hAnsi="SimHei" w:eastAsia="SimHei" w:cs="SimHei"/>
          <w:b/>
          <w:color w:val="000000"/>
          <w:sz w:val="21"/>
        </w:rPr>
        <w:t>不能沿用的证据标签：</w:t>
      </w:r>
      <w:r>
        <w:rPr>
          <w:rFonts w:ascii="SimHei" w:hAnsi="SimHei" w:eastAsia="SimHei" w:cs="SimHei"/>
          <w:color w:val="000000"/>
          <w:sz w:val="21"/>
        </w:rPr>
        <w:t>“untouched final test”“independent blind week”“external validation”等表述。</w:t>
      </w:r>
    </w:p>
    <w:p>
      <w:pPr>
        <w:pStyle w:val="ListBullet"/>
        <w:spacing w:after="80"/>
        <w:widowControl w:val="1"/>
      </w:pPr>
      <w:r>
        <w:rPr>
          <w:rFonts w:ascii="SimHei" w:hAnsi="SimHei" w:eastAsia="SimHei" w:cs="SimHei"/>
          <w:b/>
          <w:color w:val="000000"/>
          <w:sz w:val="21"/>
        </w:rPr>
        <w:t>必须重算的部分：</w:t>
      </w:r>
      <w:r>
        <w:rPr>
          <w:rFonts w:ascii="SimHei" w:hAnsi="SimHei" w:eastAsia="SimHei" w:cs="SimHei"/>
          <w:color w:val="000000"/>
          <w:sz w:val="21"/>
        </w:rPr>
        <w:t>完整理论网格、资格规则后的小时数据、rolling-origin fold、共同sample manifest、训练期统计量、正式预测和配对统计。</w:t>
      </w:r>
    </w:p>
    <w:p>
      <w:pPr>
        <w:pStyle w:val="ListBullet"/>
        <w:spacing w:after="80"/>
        <w:widowControl w:val="1"/>
      </w:pPr>
      <w:r>
        <w:rPr>
          <w:rFonts w:ascii="SimHei" w:hAnsi="SimHei" w:eastAsia="SimHei" w:cs="SimHei"/>
          <w:b/>
          <w:color w:val="000000"/>
          <w:sz w:val="21"/>
        </w:rPr>
        <w:t>核心原则：</w:t>
      </w:r>
      <w:r>
        <w:rPr>
          <w:rFonts w:ascii="SimHei" w:hAnsi="SimHei" w:eastAsia="SimHei" w:cs="SimHei"/>
          <w:color w:val="000000"/>
          <w:sz w:val="21"/>
        </w:rPr>
        <w:t>污染是研究过程中的信息暴露问题，不等同于原始数据损坏；解决办法是降低旧结果证据等级并重建主要评价协议。</w:t>
      </w:r>
    </w:p>
    <w:p>
      <w:pPr>
        <w:pStyle w:val="Heading2"/>
        <w:keepNext/>
        <w:widowControl w:val="1"/>
        <w:spacing w:before="200" w:after="100"/>
      </w:pPr>
      <w:r>
        <w:rPr>
          <w:rFonts w:ascii="SimHei" w:hAnsi="SimHei" w:eastAsia="SimHei" w:cs="SimHei"/>
          <w:color w:val="000000"/>
          <w:sz w:val="26"/>
        </w:rPr>
        <w:t>1.2 当前文章应采用的证据层级</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92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证据等级</w:t>
            </w:r>
          </w:p>
        </w:tc>
        <w:tc>
          <w:tcPr>
            <w:tcW w:type="dxa" w:w="5386"/>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内容</w:t>
            </w:r>
          </w:p>
        </w:tc>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使用位置</w:t>
            </w:r>
          </w:p>
        </w:tc>
      </w:tr>
      <w:tr>
        <w:trPr>
          <w:cantSplit/>
        </w:trPr>
        <w:tc>
          <w:tcPr>
            <w:tcW w:type="dxa" w:w="192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Level A：主要证据</w:t>
            </w:r>
          </w:p>
        </w:tc>
        <w:tc>
          <w:tcPr>
            <w:tcW w:type="dxa" w:w="5386"/>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六折rolling-origin正式benchmark；共同样本；fold-wise独立拟合；全样本防泄漏审计</w:t>
            </w:r>
          </w:p>
        </w:tc>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正文Results核心</w:t>
            </w:r>
          </w:p>
        </w:tc>
      </w:tr>
      <w:tr>
        <w:trPr>
          <w:cantSplit/>
        </w:trPr>
        <w:tc>
          <w:tcPr>
            <w:tcW w:type="dxa" w:w="192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Level B：稳健性证据</w:t>
            </w:r>
          </w:p>
        </w:tc>
        <w:tc>
          <w:tcPr>
            <w:tcW w:type="dxa" w:w="538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2/4、3/4、4/4聚合；H6标签规则；均值/中位数；coverage/gap分层</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正文或SI</w:t>
            </w:r>
          </w:p>
        </w:tc>
      </w:tr>
      <w:tr>
        <w:trPr>
          <w:cantSplit/>
        </w:trPr>
        <w:tc>
          <w:tcPr>
            <w:tcW w:type="dxa" w:w="192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Level C：历史比较</w:t>
            </w:r>
          </w:p>
        </w:tc>
        <w:tc>
          <w:tcPr>
            <w:tcW w:type="dxa" w:w="538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已暴露最终周、旧Phase 13/15结果</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仅补充，不用于“独立验证”</w:t>
            </w:r>
          </w:p>
        </w:tc>
      </w:tr>
      <w:tr>
        <w:trPr>
          <w:cantSplit/>
        </w:trPr>
        <w:tc>
          <w:tcPr>
            <w:tcW w:type="dxa" w:w="192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Level D：探索性证据</w:t>
            </w:r>
          </w:p>
        </w:tc>
        <w:tc>
          <w:tcPr>
            <w:tcW w:type="dxa" w:w="538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尚未预先冻结的模型、阈值或后验分组</w:t>
            </w:r>
          </w:p>
        </w:tc>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明确标注exploratory</w:t>
            </w:r>
          </w:p>
        </w:tc>
      </w:tr>
    </w:tbl>
    <w:p>
      <w:pPr>
        <w:widowControl w:val="1"/>
        <w:spacing w:after="80" w:line="276" w:lineRule="auto"/>
      </w:pPr>
    </w:p>
    <w:p>
      <w:pPr>
        <w:widowControl w:val="1"/>
        <w:spacing w:after="80" w:line="276" w:lineRule="auto"/>
      </w:pPr>
      <w:r>
        <w:rPr>
          <w:rFonts w:ascii="SimHei" w:hAnsi="SimHei" w:eastAsia="SimHei" w:cs="SimHei"/>
          <w:color w:val="000000"/>
          <w:sz w:val="21"/>
        </w:rPr>
        <w:drawing>
          <wp:inline xmlns:a="http://schemas.openxmlformats.org/drawingml/2006/main" xmlns:pic="http://schemas.openxmlformats.org/drawingml/2006/picture">
            <wp:extent cx="5868000" cy="3657417"/>
            <wp:docPr id="1" name="Picture 1"/>
            <wp:cNvGraphicFramePr>
              <a:graphicFrameLocks noChangeAspect="1"/>
            </wp:cNvGraphicFramePr>
            <a:graphic>
              <a:graphicData uri="http://schemas.openxmlformats.org/drawingml/2006/picture">
                <pic:pic>
                  <pic:nvPicPr>
                    <pic:cNvPr id="0" name="evidence_architecture.png"/>
                    <pic:cNvPicPr/>
                  </pic:nvPicPr>
                  <pic:blipFill>
                    <a:blip r:embed="rId11"/>
                    <a:stretch>
                      <a:fillRect/>
                    </a:stretch>
                  </pic:blipFill>
                  <pic:spPr>
                    <a:xfrm>
                      <a:off x="0" y="0"/>
                      <a:ext cx="5868000" cy="3657417"/>
                    </a:xfrm>
                    <a:prstGeom prst="rect"/>
                  </pic:spPr>
                </pic:pic>
              </a:graphicData>
            </a:graphic>
          </wp:inline>
        </w:drawing>
      </w:r>
    </w:p>
    <w:p>
      <w:pPr>
        <w:spacing w:after="80" w:line="276" w:lineRule="auto"/>
        <w:jc w:val="center"/>
        <w:widowControl w:val="1"/>
      </w:pPr>
      <w:r>
        <w:rPr>
          <w:rFonts w:ascii="SimHei" w:hAnsi="SimHei" w:eastAsia="SimHei" w:cs="SimHei"/>
          <w:i/>
          <w:color w:val="000000"/>
          <w:sz w:val="21"/>
        </w:rPr>
        <w:t>图A  本写作蓝图采用的数据合同—因果样本—滚动评价—工程解释证据链（用于规划，不是最终论文结果图）</w:t>
      </w:r>
    </w:p>
    <w:p>
      <w:pPr>
        <w:pStyle w:val="Heading1"/>
        <w:keepNext/>
        <w:widowControl w:val="1"/>
        <w:spacing w:before="280" w:after="140"/>
      </w:pPr>
      <w:r>
        <w:rPr>
          <w:rFonts w:ascii="SimHei" w:hAnsi="SimHei" w:eastAsia="SimHei" w:cs="SimHei"/>
          <w:color w:val="000000"/>
          <w:sz w:val="30"/>
        </w:rPr>
        <w:t>2. AJSE 当前投稿规范及对原写作框架的修正</w:t>
      </w:r>
    </w:p>
    <w:p>
      <w:pPr>
        <w:widowControl w:val="1"/>
        <w:spacing w:after="80" w:line="276" w:lineRule="auto"/>
      </w:pPr>
      <w:r>
        <w:rPr>
          <w:rFonts w:ascii="SimHei" w:hAnsi="SimHei" w:eastAsia="SimHei" w:cs="SimHei"/>
          <w:color w:val="000000"/>
          <w:sz w:val="21"/>
        </w:rPr>
        <w:t>上传的“SCI 1区论文深度写作与润色提示词系统”适合作为通用写作检查表，但其中若干固定格式与AJSE官方要求不一致。正式写作应以AJSE作者指南为准。</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53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事项</w:t>
            </w:r>
          </w:p>
        </w:tc>
        <w:tc>
          <w:tcPr>
            <w:tcW w:type="dxa" w:w="436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AJSE核验要求</w:t>
            </w:r>
          </w:p>
        </w:tc>
        <w:tc>
          <w:tcPr>
            <w:tcW w:type="dxa" w:w="340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对本稿的执行</w:t>
            </w:r>
          </w:p>
        </w:tc>
      </w:tr>
      <w:tr>
        <w:trPr>
          <w:cantSplit/>
        </w:trPr>
        <w:tc>
          <w:tcPr>
            <w:tcW w:type="dxa" w:w="153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稿件范围</w:t>
            </w:r>
          </w:p>
        </w:tc>
        <w:tc>
          <w:tcPr>
            <w:tcW w:type="dxa" w:w="436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AJSE-Engineering覆盖Civil、Computer Science and Engineering、Systems Engineering等；本研究可按交通/土木—系统工程交叉定位。</w:t>
            </w:r>
          </w:p>
        </w:tc>
        <w:tc>
          <w:tcPr>
            <w:tcW w:type="dxa" w:w="340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题目与摘要突出engineering evaluation，不写成纯算法竞赛。</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稿件类型</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Research Article / Full-length Original Article。</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采用完整研究论文结构。</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摘要</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150–250 words；需覆盖目的、方法、结果和结论。</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删除“必须120–130词、10句话”的限制。</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关键词</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4–6个。</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建议6个以内。</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引用</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正文使用方括号数字引用，参考文献按出现顺序编号。</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不采用APA作者—年份格式。</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标题层级</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十进制编号，不超过三级。</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正文最多如4.2.1，避免过碎。</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正文格式</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LaTeX推荐iicol；Word也接受。</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当前DOCX用于写作蓝图，最终可转Springer Nature LaTeX。</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图件</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多子图用(a)(b)(c)…；矢量优先EPS；照片/半色调TIFF；组合图至少600 dpi；图中文字8–12 pt。</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不能把所有图机械固定为16:9。</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图宽</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按84 mm单栏或174 mm双栏设计，高度不超过234 mm。</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大多数多子图建议174 mm双栏。</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图题</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图内不放完整标题/图注；caption写在正文文件中。</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图内只保留panel label、轴、图例和必要注释。</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声明</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需有Statements and Declarations；至少包括Competing Interests，按情况加Funding、Data/Code Availability等。</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投稿前单独检查。</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审稿人建议</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官方指南要求建议4名国际审稿人，来自不同机构/国家且无近期合作冲突。</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投稿准备阶段建立候选清单。</w:t>
            </w:r>
          </w:p>
        </w:tc>
      </w:tr>
      <w:tr>
        <w:trPr>
          <w:cantSplit/>
        </w:trPr>
        <w:tc>
          <w:tcPr>
            <w:tcW w:type="dxa" w:w="15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出版模式</w:t>
            </w:r>
          </w:p>
        </w:tc>
        <w:tc>
          <w:tcPr>
            <w:tcW w:type="dxa" w:w="436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Hybrid；可选择subscription route，不收APC。</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符合用户偏好，但与文章写作无直接关系。</w:t>
            </w:r>
          </w:p>
        </w:tc>
      </w:tr>
    </w:tbl>
    <w:p>
      <w:pPr>
        <w:widowControl w:val="1"/>
        <w:spacing w:after="80" w:line="276" w:lineRule="auto"/>
      </w:pP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746"/>
            <w:tcMar>
              <w:top w:w="80" w:type="dxa"/>
              <w:start w:w="90" w:type="dxa"/>
              <w:bottom w:w="80" w:type="dxa"/>
              <w:end w:w="90" w:type="dxa"/>
            </w:tcMar>
            <w:vAlign w:val="center"/>
            <w:shd w:val="clear" w:fill="FFFFFF"/>
          </w:tcPr>
          <w:p>
            <w:pPr>
              <w:pStyle w:val="Callout"/>
              <w:spacing w:before="0" w:after="40" w:line="259" w:lineRule="auto"/>
            </w:pPr>
            <w:r>
              <w:rPr>
                <w:rFonts w:ascii="SimHei" w:hAnsi="SimHei" w:eastAsia="SimHei" w:cs="SimHei"/>
                <w:b w:val="0"/>
                <w:color w:val="000000"/>
                <w:sz w:val="19"/>
              </w:rPr>
              <w:t>关键修正：多子图的正确约束是“最终版面可读、符合84/174 mm宽度、面板标注清楚、组合图600 dpi或矢量输出”，不是统一16:9。</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2.1 建议的内部篇幅目标（非期刊硬性限制）</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340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部分</w:t>
            </w:r>
          </w:p>
        </w:tc>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建议篇幅</w:t>
            </w:r>
          </w:p>
        </w:tc>
        <w:tc>
          <w:tcPr>
            <w:tcW w:type="dxa" w:w="340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当前可完成程度</w:t>
            </w:r>
          </w:p>
        </w:tc>
      </w:tr>
      <w:tr>
        <w:trPr>
          <w:cantSplit/>
        </w:trPr>
        <w:tc>
          <w:tcPr>
            <w:tcW w:type="dxa" w:w="340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Title page + Abstract + Keywords</w:t>
            </w:r>
          </w:p>
        </w:tc>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250–350词（不含作者信息）</w:t>
            </w:r>
          </w:p>
        </w:tc>
        <w:tc>
          <w:tcPr>
            <w:tcW w:type="dxa" w:w="340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最后完成</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 Introduction</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1,100–1,400词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现在可写80%</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 Related Work</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900–1,200词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现在可写70%，文献需最终核验</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3 Study Area and Data</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900–1,200词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现在可写80%，数量待回填</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 Methodology</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2,000–2,600词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现在可写85%，参数待冻结</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5 Results</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1,500–2,000词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等待正式结果</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6 Discussion</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1,300–1,700词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等待结果后写</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7 Conclusions</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300–450词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最后写</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Statements and Declarations</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150–300词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投稿前确认</w:t>
            </w:r>
          </w:p>
        </w:tc>
      </w:tr>
      <w:tr>
        <w:trPr>
          <w:cantSplit/>
        </w:trPr>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总正文工作目标</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约8,000–10,000词</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用于控制完整性，不是AJSE官方上限</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3. 文章定位、证据边界与题目方案</w:t>
      </w:r>
    </w:p>
    <w:p>
      <w:pPr>
        <w:pStyle w:val="Heading2"/>
        <w:keepNext/>
        <w:widowControl w:val="1"/>
        <w:spacing w:before="200" w:after="100"/>
      </w:pPr>
      <w:r>
        <w:rPr>
          <w:rFonts w:ascii="SimHei" w:hAnsi="SimHei" w:eastAsia="SimHei" w:cs="SimHei"/>
          <w:color w:val="000000"/>
          <w:sz w:val="26"/>
        </w:rPr>
        <w:t>3.1 一句话定位</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746"/>
            <w:tcMar>
              <w:top w:w="80" w:type="dxa"/>
              <w:start w:w="90" w:type="dxa"/>
              <w:bottom w:w="80" w:type="dxa"/>
              <w:end w:w="90" w:type="dxa"/>
            </w:tcMar>
            <w:vAlign w:val="center"/>
            <w:shd w:val="clear" w:fill="FFFFFF"/>
          </w:tcPr>
          <w:p>
            <w:pPr>
              <w:pStyle w:val="Callout"/>
              <w:spacing w:before="0" w:after="40" w:line="259" w:lineRule="auto"/>
            </w:pPr>
            <w:r>
              <w:rPr>
                <w:rFonts w:ascii="SimHei" w:hAnsi="SimHei" w:eastAsia="SimHei" w:cs="SimHei"/>
                <w:b w:val="0"/>
                <w:color w:val="000000"/>
                <w:sz w:val="19"/>
              </w:rPr>
              <w:t>在固定检测设施不足、历史样本较短且商业FCD覆盖不均的长距离高速走廊中，本研究建立完整时间网格、统一数据资格合同和六折滚动来源评价，以检验1、3和6小时速度预测的可用性、稳定性及失效边界。</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3.2 推荐题目</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13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优先级</w:t>
            </w:r>
          </w:p>
        </w:tc>
        <w:tc>
          <w:tcPr>
            <w:tcW w:type="dxa" w:w="5783"/>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英文题目</w:t>
            </w:r>
          </w:p>
        </w:tc>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适用条件</w:t>
            </w:r>
          </w:p>
        </w:tc>
      </w:tr>
      <w:tr>
        <w:trPr>
          <w:cantSplit/>
        </w:trPr>
        <w:tc>
          <w:tcPr>
            <w:tcW w:type="dxa" w:w="113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首选</w:t>
            </w:r>
          </w:p>
        </w:tc>
        <w:tc>
          <w:tcPr>
            <w:tcW w:type="dxa" w:w="5783"/>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Retrospective Rolling-Origin Evaluation of Sparse Floating-Car Data for Multi-Horizon Traffic Speed Forecasting on a Data-Scarce Highway Corridor</w:t>
            </w:r>
          </w:p>
        </w:tc>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最准确，避免过度模型创新承诺；突出证据重建。</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备选A</w:t>
            </w:r>
          </w:p>
        </w:tc>
        <w:tc>
          <w:tcPr>
            <w:tcW w:type="dxa" w:w="578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Reproducible Rolling-Origin Framework for Traffic Speed Forecasting Using Sparse Commercial FCD on a Data-Scarce Highway Corridor</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强化工程复现性。</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备选B</w:t>
            </w:r>
          </w:p>
        </w:tc>
        <w:tc>
          <w:tcPr>
            <w:tcW w:type="dxa" w:w="578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Data-Reliability-Aware Evaluation of Sparse Floating-Car Data for Short-Term Highway Speed Forecasting</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更短，但“reliability-aware”需有充分分层证据。</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结果后备选</w:t>
            </w:r>
          </w:p>
        </w:tc>
        <w:tc>
          <w:tcPr>
            <w:tcW w:type="dxa" w:w="578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When Is Sparse Commercial FCD Sufficient for Multi-Horizon Highway Speed Forecasting? Evidence from a Retrospective Rolling-Origin Study</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问句式更醒目，但需最终结果形成明确适用边界。</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3.3 中心论点与保守结论边界</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24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类型</w:t>
            </w:r>
          </w:p>
        </w:tc>
        <w:tc>
          <w:tcPr>
            <w:tcW w:type="dxa" w:w="453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表述</w:t>
            </w:r>
          </w:p>
        </w:tc>
        <w:tc>
          <w:tcPr>
            <w:tcW w:type="dxa" w:w="340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证据要求/原因</w:t>
            </w:r>
          </w:p>
        </w:tc>
      </w:tr>
      <w:tr>
        <w:trPr>
          <w:cantSplit/>
        </w:trPr>
        <w:tc>
          <w:tcPr>
            <w:tcW w:type="dxa" w:w="124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可主张</w:t>
            </w:r>
          </w:p>
        </w:tc>
        <w:tc>
          <w:tcPr>
            <w:tcW w:type="dxa" w:w="453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严格的数据资格和时间评价协议能改变对模型稳定性与适用性的判断。</w:t>
            </w:r>
          </w:p>
        </w:tc>
        <w:tc>
          <w:tcPr>
            <w:tcW w:type="dxa" w:w="340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需要六折、敏感性和旧周对比支持。</w:t>
            </w:r>
          </w:p>
        </w:tc>
      </w:tr>
      <w:tr>
        <w:trPr>
          <w:cantSplit/>
        </w:trPr>
        <w:tc>
          <w:tcPr>
            <w:tcW w:type="dxa" w:w="124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可主张</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稀疏FCD在部分时距和质量条件下可支持速度预测。</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必须报告条件、误差和最差折。</w:t>
            </w:r>
          </w:p>
        </w:tc>
      </w:tr>
      <w:tr>
        <w:trPr>
          <w:cantSplit/>
        </w:trPr>
        <w:tc>
          <w:tcPr>
            <w:tcW w:type="dxa" w:w="124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可主张</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简单基线或树模型在短历史数据中可能比复杂模型更稳定。</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只有正式共同样本比较成立后才能写。</w:t>
            </w:r>
          </w:p>
        </w:tc>
      </w:tr>
      <w:tr>
        <w:trPr>
          <w:cantSplit/>
        </w:trPr>
        <w:tc>
          <w:tcPr>
            <w:tcW w:type="dxa" w:w="124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不可主张</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最终周是完全独立盲测。</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已被历史实验暴露。</w:t>
            </w:r>
          </w:p>
        </w:tc>
      </w:tr>
      <w:tr>
        <w:trPr>
          <w:cantSplit/>
        </w:trPr>
        <w:tc>
          <w:tcPr>
            <w:tcW w:type="dxa" w:w="124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不可主张</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0.80 confidence或2/4规则具有普遍最优性。</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仅是本研究冻结规则和敏感性对象。</w:t>
            </w:r>
          </w:p>
        </w:tc>
      </w:tr>
      <w:tr>
        <w:trPr>
          <w:cantSplit/>
        </w:trPr>
        <w:tc>
          <w:tcPr>
            <w:tcW w:type="dxa" w:w="124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不可主张</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稀疏商业FCD可完全替代固定检测器。</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缺少独立地面真值和跨地区验证。</w:t>
            </w:r>
          </w:p>
        </w:tc>
      </w:tr>
      <w:tr>
        <w:trPr>
          <w:cantSplit/>
        </w:trPr>
        <w:tc>
          <w:tcPr>
            <w:tcW w:type="dxa" w:w="124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不可主张</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模型在所有高速走廊可泛化。</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单走廊、约三个月数据。</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3.4 与另一篇CRG-TCN文章的边界</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文章</w:t>
            </w:r>
          </w:p>
        </w:tc>
        <w:tc>
          <w:tcPr>
            <w:tcW w:type="dxa" w:w="425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应保留内容</w:t>
            </w:r>
          </w:p>
        </w:tc>
        <w:tc>
          <w:tcPr>
            <w:tcW w:type="dxa" w:w="323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边界原则</w:t>
            </w:r>
          </w:p>
        </w:tc>
      </w:tr>
      <w:tr>
        <w:trPr>
          <w:cantSplit/>
        </w:trPr>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AJSE Phase 2A</w:t>
            </w:r>
          </w:p>
        </w:tc>
        <w:tc>
          <w:tcPr>
            <w:tcW w:type="dxa" w:w="425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数据合同、理论网格、统一manifest、六折评价、泄漏审计、有限benchmark、数据质量—误差关系</w:t>
            </w:r>
          </w:p>
        </w:tc>
        <w:tc>
          <w:tcPr>
            <w:tcW w:type="dxa" w:w="323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协议与工程证据</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CRG-TCN/T1</w:t>
            </w:r>
          </w:p>
        </w:tc>
        <w:tc>
          <w:tcPr>
            <w:tcW w:type="dxa" w:w="425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模型结构、可靠性门控、多尺度/空间模块、24步直接预测、大规模模块消融、训练预算和冷启动</w:t>
            </w:r>
          </w:p>
        </w:tc>
        <w:tc>
          <w:tcPr>
            <w:tcW w:type="dxa" w:w="32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模型与算法贡献</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可共享基础材料</w:t>
            </w:r>
          </w:p>
        </w:tc>
        <w:tc>
          <w:tcPr>
            <w:tcW w:type="dxa" w:w="425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研究区、原始FCD来源、节点背景</w:t>
            </w:r>
          </w:p>
        </w:tc>
        <w:tc>
          <w:tcPr>
            <w:tcW w:type="dxa" w:w="323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文字与图不得重复到构成实质性重叠；研究问题、目标、结果集必须不同</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4. 研究问题、研究目标与贡献链</w:t>
      </w:r>
    </w:p>
    <w:p>
      <w:pPr>
        <w:widowControl w:val="1"/>
        <w:spacing w:after="80" w:line="276" w:lineRule="auto"/>
      </w:pPr>
      <w:r>
        <w:rPr>
          <w:rFonts w:ascii="SimHei" w:hAnsi="SimHei" w:eastAsia="SimHei" w:cs="SimHei"/>
          <w:color w:val="000000"/>
          <w:sz w:val="21"/>
        </w:rPr>
        <w:t>为避免六个独立RQ导致文章过碎，建议把原有六项问题压缩为四个主RQ，并在Results中设置子分析。</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trPr>
        <w:tc>
          <w:tcPr>
            <w:tcW w:type="dxa" w:w="680"/>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RQ</w:t>
            </w:r>
          </w:p>
        </w:tc>
        <w:tc>
          <w:tcPr>
            <w:tcW w:type="dxa" w:w="430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研究问题</w:t>
            </w:r>
          </w:p>
        </w:tc>
        <w:tc>
          <w:tcPr>
            <w:tcW w:type="dxa" w:w="283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对应目标</w:t>
            </w:r>
          </w:p>
        </w:tc>
        <w:tc>
          <w:tcPr>
            <w:tcW w:type="dxa" w:w="141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Results主线</w:t>
            </w:r>
          </w:p>
        </w:tc>
      </w:tr>
      <w:tr>
        <w:trPr>
          <w:cantSplit/>
        </w:trPr>
        <w:tc>
          <w:tcPr>
            <w:tcW w:type="dxa" w:w="680"/>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RQ1</w:t>
            </w:r>
          </w:p>
        </w:tc>
        <w:tc>
          <w:tcPr>
            <w:tcW w:type="dxa" w:w="430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在完整理论时间网格和预先冻结的数据资格规则下，稀疏商业FCD能形成多少可用预测样本，且样本保留对聚合和标签规则有多敏感？</w:t>
            </w:r>
          </w:p>
        </w:tc>
        <w:tc>
          <w:tcPr>
            <w:tcW w:type="dxa" w:w="283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重建网格；比较2/4、3/4、4/4及H6标签资格。</w:t>
            </w:r>
          </w:p>
        </w:tc>
        <w:tc>
          <w:tcPr>
            <w:tcW w:type="dxa" w:w="141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数据资格与样本形成</w:t>
            </w:r>
          </w:p>
        </w:tc>
      </w:tr>
      <w:tr>
        <w:trPr>
          <w:cantSplit/>
        </w:trPr>
        <w:tc>
          <w:tcPr>
            <w:tcW w:type="dxa" w:w="68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RQ2</w:t>
            </w:r>
          </w:p>
        </w:tc>
        <w:tc>
          <w:tcPr>
            <w:tcW w:type="dxa" w:w="430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在共同样本和六折滚动来源评价下，HA、Persistence、Ridge/XGBoost及一个轻量序列模型在H1、H3、H6上的精度与时间稳定性如何？</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完成正式benchmark；报告均值、标准差、最差折和排名稳定性。</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预测性能与稳定性</w:t>
            </w:r>
          </w:p>
        </w:tc>
      </w:tr>
      <w:tr>
        <w:trPr>
          <w:cantSplit/>
        </w:trPr>
        <w:tc>
          <w:tcPr>
            <w:tcW w:type="dxa" w:w="68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RQ3</w:t>
            </w:r>
          </w:p>
        </w:tc>
        <w:tc>
          <w:tcPr>
            <w:tcW w:type="dxa" w:w="430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coverage、confidence、连续缺失、节点位置和交通波动与预测误差之间存在什么可重复的关联？</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按预先定义的质量/状态分层；估计配对误差差异和置信区间。</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失效边界</w:t>
            </w:r>
          </w:p>
        </w:tc>
      </w:tr>
      <w:tr>
        <w:trPr>
          <w:cantSplit/>
        </w:trPr>
        <w:tc>
          <w:tcPr>
            <w:tcW w:type="dxa" w:w="68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RQ4</w:t>
            </w:r>
          </w:p>
        </w:tc>
        <w:tc>
          <w:tcPr>
            <w:tcW w:type="dxa" w:w="430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严格rolling-origin协议与单一已暴露历史周会否产生不同的模型判断或模型排序？</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把旧最终周降级为历史补充；对比整体排名、误差和不确定性。</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协议对结论的影响</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4.1 贡献链</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41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贡献类型</w:t>
            </w:r>
          </w:p>
        </w:tc>
        <w:tc>
          <w:tcPr>
            <w:tcW w:type="dxa" w:w="5216"/>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具体增加的内容</w:t>
            </w:r>
          </w:p>
        </w:tc>
        <w:tc>
          <w:tcPr>
            <w:tcW w:type="dxa" w:w="255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验证载体</w:t>
            </w:r>
          </w:p>
        </w:tc>
      </w:tr>
      <w:tr>
        <w:trPr>
          <w:cantSplit/>
        </w:trPr>
        <w:tc>
          <w:tcPr>
            <w:tcW w:type="dxa" w:w="141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数据贡献</w:t>
            </w:r>
          </w:p>
        </w:tc>
        <w:tc>
          <w:tcPr>
            <w:tcW w:type="dxa" w:w="5216"/>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从“只看已有记录”转为完整15分钟/小时理论网格，区分真正缺失、低质量记录和槽位不足。</w:t>
            </w:r>
          </w:p>
        </w:tc>
        <w:tc>
          <w:tcPr>
            <w:tcW w:type="dxa" w:w="255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理论网格及审计表</w:t>
            </w:r>
          </w:p>
        </w:tc>
      </w:tr>
      <w:tr>
        <w:trPr>
          <w:cantSplit/>
        </w:trPr>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方法贡献</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把资格规则、时间边界、共同sample manifest、fold-wise处理和全样本断言整合为可复算协议。</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流程图、manifest、审计结果</w:t>
            </w:r>
          </w:p>
        </w:tc>
      </w:tr>
      <w:tr>
        <w:trPr>
          <w:cantSplit/>
        </w:trPr>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实证贡献</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用六个连续时间折评估多时距预测，而非依赖单一周。</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每折性能、最差折、排名稳定性</w:t>
            </w:r>
          </w:p>
        </w:tc>
      </w:tr>
      <w:tr>
        <w:trPr>
          <w:cantSplit/>
        </w:trPr>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工程贡献</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识别在何种coverage、gap、节点或波动条件下误差显著上升。</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分层结果和失败案例</w:t>
            </w:r>
          </w:p>
        </w:tc>
      </w:tr>
      <w:tr>
        <w:trPr>
          <w:cantSplit/>
        </w:trPr>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研究规范贡献</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明确披露历史测试周暴露并降低其证据等级。</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方法与限制章节</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4.2 不建议设置强因果假设</w:t>
      </w:r>
    </w:p>
    <w:p>
      <w:pPr>
        <w:widowControl w:val="1"/>
        <w:spacing w:after="80" w:line="276" w:lineRule="auto"/>
      </w:pPr>
      <w:r>
        <w:rPr>
          <w:rFonts w:ascii="SimHei" w:hAnsi="SimHei" w:eastAsia="SimHei" w:cs="SimHei"/>
          <w:color w:val="000000"/>
          <w:sz w:val="21"/>
        </w:rPr>
        <w:t>本研究是回顾性观察性预测评价，不具备因果识别设计。正文可使用“associated with”“corresponded to”“was observed under”等表达，不应写“low coverage caused error”或“confidence determined performance”。</w:t>
      </w:r>
    </w:p>
    <w:p>
      <w:pPr>
        <w:pStyle w:val="Heading1"/>
        <w:keepNext/>
        <w:widowControl w:val="1"/>
        <w:spacing w:before="280" w:after="140"/>
      </w:pPr>
      <w:r>
        <w:rPr>
          <w:rFonts w:ascii="SimHei" w:hAnsi="SimHei" w:eastAsia="SimHei" w:cs="SimHei"/>
          <w:color w:val="000000"/>
          <w:sz w:val="30"/>
        </w:rPr>
        <w:t>5. 全文详细写作大纲（段落级）</w:t>
      </w:r>
    </w:p>
    <w:p>
      <w:pPr>
        <w:pStyle w:val="Heading2"/>
        <w:keepNext/>
        <w:widowControl w:val="1"/>
        <w:spacing w:before="200" w:after="100"/>
      </w:pPr>
      <w:r>
        <w:rPr>
          <w:rFonts w:ascii="SimHei" w:hAnsi="SimHei" w:eastAsia="SimHei" w:cs="SimHei"/>
          <w:color w:val="000000"/>
          <w:sz w:val="26"/>
        </w:rPr>
        <w:t>5.0 Title Page, Abstract and Keywords</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81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单元</w:t>
            </w:r>
          </w:p>
        </w:tc>
        <w:tc>
          <w:tcPr>
            <w:tcW w:type="dxa" w:w="532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写作内容</w:t>
            </w:r>
          </w:p>
        </w:tc>
        <w:tc>
          <w:tcPr>
            <w:tcW w:type="dxa" w:w="198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状态/限制</w:t>
            </w:r>
          </w:p>
        </w:tc>
      </w:tr>
      <w:tr>
        <w:trPr>
          <w:cantSplit/>
        </w:trPr>
        <w:tc>
          <w:tcPr>
            <w:tcW w:type="dxa" w:w="181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Title</w:t>
            </w:r>
          </w:p>
        </w:tc>
        <w:tc>
          <w:tcPr>
            <w:tcW w:type="dxa" w:w="532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先用首选题目；结果结束后检查是否需要加入“reliability”或“reproducible”。</w:t>
            </w:r>
          </w:p>
        </w:tc>
        <w:tc>
          <w:tcPr>
            <w:tcW w:type="dxa" w:w="198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不含未被结果证明的best/novel/accurate。</w:t>
            </w:r>
          </w:p>
        </w:tc>
      </w:tr>
      <w:tr>
        <w:trPr>
          <w:cantSplit/>
        </w:trPr>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Abstract sentence 1</w:t>
            </w:r>
          </w:p>
        </w:tc>
        <w:tc>
          <w:tcPr>
            <w:tcW w:type="dxa" w:w="532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工程背景：数据稀缺高速走廊依赖商业FCD。</w:t>
            </w:r>
          </w:p>
        </w:tc>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现在可写。</w:t>
            </w:r>
          </w:p>
        </w:tc>
      </w:tr>
      <w:tr>
        <w:trPr>
          <w:cantSplit/>
        </w:trPr>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Abstract sentence 2</w:t>
            </w:r>
          </w:p>
        </w:tc>
        <w:tc>
          <w:tcPr>
            <w:tcW w:type="dxa" w:w="532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问题：覆盖不均、短历史和单一测试期会削弱证据可信度。</w:t>
            </w:r>
          </w:p>
        </w:tc>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现在可写。</w:t>
            </w:r>
          </w:p>
        </w:tc>
      </w:tr>
      <w:tr>
        <w:trPr>
          <w:cantSplit/>
        </w:trPr>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Abstract sentence 3</w:t>
            </w:r>
          </w:p>
        </w:tc>
        <w:tc>
          <w:tcPr>
            <w:tcW w:type="dxa" w:w="532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方法：理论网格、资格规则、共同manifest、六折rolling-origin和全样本审计。</w:t>
            </w:r>
          </w:p>
        </w:tc>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参数冻结后定稿。</w:t>
            </w:r>
          </w:p>
        </w:tc>
      </w:tr>
      <w:tr>
        <w:trPr>
          <w:cantSplit/>
        </w:trPr>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Abstract sentence 4</w:t>
            </w:r>
          </w:p>
        </w:tc>
        <w:tc>
          <w:tcPr>
            <w:tcW w:type="dxa" w:w="532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结果：填入主模型、H1/H3/H6、折间稳定性和最差质量条件。</w:t>
            </w:r>
          </w:p>
        </w:tc>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等待结果。</w:t>
            </w:r>
          </w:p>
        </w:tc>
      </w:tr>
      <w:tr>
        <w:trPr>
          <w:cantSplit/>
        </w:trPr>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Abstract sentence 5</w:t>
            </w:r>
          </w:p>
        </w:tc>
        <w:tc>
          <w:tcPr>
            <w:tcW w:type="dxa" w:w="532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结论：稀疏FCD在明确边界内可用；复杂度与稳定性需共同考虑。</w:t>
            </w:r>
          </w:p>
        </w:tc>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等待结果。</w:t>
            </w:r>
          </w:p>
        </w:tc>
      </w:tr>
      <w:tr>
        <w:trPr>
          <w:cantSplit/>
        </w:trPr>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Keywords</w:t>
            </w:r>
          </w:p>
        </w:tc>
        <w:tc>
          <w:tcPr>
            <w:tcW w:type="dxa" w:w="532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Floating-car data; traffic speed forecasting; data-scarce highway; rolling-origin evaluation; data reliability; reproducibility</w:t>
            </w:r>
          </w:p>
        </w:tc>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最终保留4–6个。</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5.1 Introduction</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47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段落</w:t>
            </w:r>
          </w:p>
        </w:tc>
        <w:tc>
          <w:tcPr>
            <w:tcW w:type="dxa" w:w="464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核心任务</w:t>
            </w:r>
          </w:p>
        </w:tc>
        <w:tc>
          <w:tcPr>
            <w:tcW w:type="dxa" w:w="306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证据与写作约束</w:t>
            </w:r>
          </w:p>
        </w:tc>
      </w:tr>
      <w:tr>
        <w:trPr>
          <w:cantSplit/>
        </w:trPr>
        <w:tc>
          <w:tcPr>
            <w:tcW w:type="dxa" w:w="147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P1 宏观背景</w:t>
            </w:r>
          </w:p>
        </w:tc>
        <w:tc>
          <w:tcPr>
            <w:tcW w:type="dxa" w:w="464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长距离高速走廊需要连续运行状态信息，但固定检测设施部署和维护受成本、地形与覆盖制约。</w:t>
            </w:r>
          </w:p>
        </w:tc>
        <w:tc>
          <w:tcPr>
            <w:tcW w:type="dxa" w:w="306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交通工程背景文献；不要夸大Pan Borneo代表性。</w:t>
            </w:r>
          </w:p>
        </w:tc>
      </w:tr>
      <w:tr>
        <w:trPr>
          <w:cantSplit/>
        </w:trPr>
        <w:tc>
          <w:tcPr>
            <w:tcW w:type="dxa" w:w="147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P2 FCD机会</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商业FCD提供高频、多点速度观测，适合补充数据稀缺环境。</w:t>
            </w:r>
          </w:p>
        </w:tc>
        <w:tc>
          <w:tcPr>
            <w:tcW w:type="dxa" w:w="306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说明平台数据是provider-reported observations，不是真实全体车辆流。</w:t>
            </w:r>
          </w:p>
        </w:tc>
      </w:tr>
      <w:tr>
        <w:trPr>
          <w:cantSplit/>
        </w:trPr>
        <w:tc>
          <w:tcPr>
            <w:tcW w:type="dxa" w:w="147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P3 数据问题</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稀疏性不是单一缺失率：还包括未生成时间戳、低confidence、连续掉线、小时槽位不足和节点差异。</w:t>
            </w:r>
          </w:p>
        </w:tc>
        <w:tc>
          <w:tcPr>
            <w:tcW w:type="dxa" w:w="306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引出完整理论网格。</w:t>
            </w:r>
          </w:p>
        </w:tc>
      </w:tr>
      <w:tr>
        <w:trPr>
          <w:cantSplit/>
        </w:trPr>
        <w:tc>
          <w:tcPr>
            <w:tcW w:type="dxa" w:w="147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P4 评价问题</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随机切分、单一测试期和模型各自删样本可产生乐观或不可比结果。</w:t>
            </w:r>
          </w:p>
        </w:tc>
        <w:tc>
          <w:tcPr>
            <w:tcW w:type="dxa" w:w="306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引出rolling-origin和共同manifest。</w:t>
            </w:r>
          </w:p>
        </w:tc>
      </w:tr>
      <w:tr>
        <w:trPr>
          <w:cantSplit/>
        </w:trPr>
        <w:tc>
          <w:tcPr>
            <w:tcW w:type="dxa" w:w="147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P5 现有研究不足</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交通预测研究多聚焦模型精度，较少把数据资格、时间泄漏、折间稳定性和工程失效边界作为一个协议评价。</w:t>
            </w:r>
          </w:p>
        </w:tc>
        <w:tc>
          <w:tcPr>
            <w:tcW w:type="dxa" w:w="306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需近5年文献支持，不写“no study”。</w:t>
            </w:r>
          </w:p>
        </w:tc>
      </w:tr>
      <w:tr>
        <w:trPr>
          <w:cantSplit/>
        </w:trPr>
        <w:tc>
          <w:tcPr>
            <w:tcW w:type="dxa" w:w="147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P6 研究目的与RQ</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提出四个RQ，说明本文是回顾性评估，不是新网络结构竞赛。</w:t>
            </w:r>
          </w:p>
        </w:tc>
        <w:tc>
          <w:tcPr>
            <w:tcW w:type="dxa" w:w="306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可直接采用第4章。</w:t>
            </w:r>
          </w:p>
        </w:tc>
      </w:tr>
      <w:tr>
        <w:trPr>
          <w:cantSplit/>
        </w:trPr>
        <w:tc>
          <w:tcPr>
            <w:tcW w:type="dxa" w:w="147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P7 贡献与结构</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列出数据、方法、实证和工程贡献；最后说明各章节。</w:t>
            </w:r>
          </w:p>
        </w:tc>
        <w:tc>
          <w:tcPr>
            <w:tcW w:type="dxa" w:w="306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贡献必须与Results一一对应。</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5.2 Related Work</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小节</w:t>
            </w:r>
          </w:p>
        </w:tc>
        <w:tc>
          <w:tcPr>
            <w:tcW w:type="dxa" w:w="453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写作任务</w:t>
            </w:r>
          </w:p>
        </w:tc>
        <w:tc>
          <w:tcPr>
            <w:tcW w:type="dxa" w:w="238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输出要求</w:t>
            </w:r>
          </w:p>
        </w:tc>
      </w:tr>
      <w:tr>
        <w:trPr>
          <w:cantSplit/>
        </w:trPr>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2.1 FCD-based traffic forecasting</w:t>
            </w:r>
          </w:p>
        </w:tc>
        <w:tc>
          <w:tcPr>
            <w:tcW w:type="dxa" w:w="453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按数据来源与任务组织：商业FCD/探针车、速度或流量、城市或高速、预测时距。</w:t>
            </w:r>
          </w:p>
        </w:tc>
        <w:tc>
          <w:tcPr>
            <w:tcW w:type="dxa" w:w="238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不要按LSTM/XGBoost逐篇罗列。</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2.2 Forecasting under sparse and missing observations</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总结缺失处理、数据质量特征、短历史与低覆盖研究。</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区分imputation performance与forecasting performance。</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2.3 Time-series evaluation and leakage control</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滚动来源、purge、train-only transformations、common test samples、可复现性。</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跨领域时间序列方法可引用，但须连接交通场景。</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2.4 Synthesis and gap</w:t>
            </w:r>
          </w:p>
        </w:tc>
        <w:tc>
          <w:tcPr>
            <w:tcW w:type="dxa" w:w="45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形成矩阵：已有研究解决了什么、未充分解决什么、本文如何回应。</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最后一段直接导向四个RQ。</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5.3 Study Area and Data</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98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小节</w:t>
            </w:r>
          </w:p>
        </w:tc>
        <w:tc>
          <w:tcPr>
            <w:tcW w:type="dxa" w:w="464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应写内容</w:t>
            </w:r>
          </w:p>
        </w:tc>
        <w:tc>
          <w:tcPr>
            <w:tcW w:type="dxa" w:w="255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待最终核验</w:t>
            </w:r>
          </w:p>
        </w:tc>
      </w:tr>
      <w:tr>
        <w:trPr>
          <w:cantSplit/>
        </w:trPr>
        <w:tc>
          <w:tcPr>
            <w:tcW w:type="dxa" w:w="198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3.1 Study corridor</w:t>
            </w:r>
          </w:p>
        </w:tc>
        <w:tc>
          <w:tcPr>
            <w:tcW w:type="dxa" w:w="464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Pan Borneo Highway, Sarawak；走廊长度、节点分布、道路环境和选择原因。</w:t>
            </w:r>
          </w:p>
        </w:tc>
        <w:tc>
          <w:tcPr>
            <w:tcW w:type="dxa" w:w="255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长度与节点坐标以最终GIS/manifest为准；避免超出证据的“高速公路”等分类。</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3.2 FCD acquisition</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TomTom商业FCD；采集日期、15分钟频率、固定节点、API/存储流程。</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API密钥不公开；说明provider字段。</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3.3 Raw variables</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timestamp、node_id/segment_id、current_speed、confidence、coverage、free_flow_speed（如真实存在）。</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最终data dictionary核验字段、单位、缺失率。</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3.4 Theoretical observation universe</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83天×96×51理论15分钟网格；83×24×51理论小时网格。</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实际日期端点和时区一经manifest确认后重算。</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3.5 Data governance</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商业数据许可、共享限制、可公开的聚合数据、代码和manifest。</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Data Availability中保持一致。</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5.4 Methodology</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98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小节</w:t>
            </w:r>
          </w:p>
        </w:tc>
        <w:tc>
          <w:tcPr>
            <w:tcW w:type="dxa" w:w="476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应写内容</w:t>
            </w:r>
          </w:p>
        </w:tc>
        <w:tc>
          <w:tcPr>
            <w:tcW w:type="dxa" w:w="238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关键约束</w:t>
            </w:r>
          </w:p>
        </w:tc>
      </w:tr>
      <w:tr>
        <w:trPr>
          <w:cantSplit/>
        </w:trPr>
        <w:tc>
          <w:tcPr>
            <w:tcW w:type="dxa" w:w="198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4.1 Research design and evidence classification</w:t>
            </w:r>
          </w:p>
        </w:tc>
        <w:tc>
          <w:tcPr>
            <w:tcW w:type="dxa" w:w="476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定量观察性案例研究；回顾性rolling-origin评价；旧最终周为previously exposed historical period。</w:t>
            </w:r>
          </w:p>
        </w:tc>
        <w:tc>
          <w:tcPr>
            <w:tcW w:type="dxa" w:w="238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必须在方法前部透明声明。</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4.2 Time-grid reconstruction</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建立node×15-min完整笛卡尔网格；标记observed、missing timestamp、quality-ineligible。</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报告每一步行数和唯一键。</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4.3 Eligibility contract</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confidence阈值、速度范围、重复值、provider_status缺失策略、时区和边界。</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所有阈值在正式结果前冻结。</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4.4 Hourly aggregation</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主规则2/4或最终批准规则；均值/中位数；生成valid_slots、coverage、gap特征。</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主规则与敏感性规则分开。</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4.5 Forecast sample definition</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历史窗口、forecast origin、H1/H3/H6目标、未来窗口平均、目标有效性。</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明确点目标或窗口平均，全文不得混用。</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4.6 Six rolling folds</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扩展训练窗口、连续验证窗口、最长H6 purge；每折重新拟合处理器和模型。</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最终给出精确日期表。</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4.7 Common sample manifest</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sample_id、fold、node、history/target边界、valid counts、quality字段。</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所有模型仅在同一eligible sample集合评价。</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4.8 Models</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HA、Persistence、Ridge或XGBoost、一个轻量序列模型；统一输入和训练预算。</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控制4–6种，避免与CRG-TCN文章重叠。</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4.9 Leakage and reproducibility audit</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时间断言、train-only scaler/imputation、禁止backfill/centered rolling、文件SHA-256、环境和随机种子。</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至少20项全样本断言。</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4.10 Metrics and statistical analysis</w:t>
            </w:r>
          </w:p>
        </w:tc>
        <w:tc>
          <w:tcPr>
            <w:tcW w:type="dxa" w:w="476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MAE主指标；RMSE、sMAPE、R²、Bias；node-day配对；移动块bootstrap、Wilcoxon/Friedman+Holm。</w:t>
            </w:r>
          </w:p>
        </w:tc>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统计单位和block长度须预先固定。</w:t>
            </w:r>
          </w:p>
        </w:tc>
      </w:tr>
    </w:tbl>
    <w:p>
      <w:pPr>
        <w:widowControl w:val="1"/>
        <w:spacing w:after="80" w:line="276" w:lineRule="auto"/>
      </w:pPr>
    </w:p>
    <w:p>
      <w:pPr>
        <w:pStyle w:val="Heading3"/>
        <w:keepNext/>
        <w:widowControl w:val="1"/>
        <w:spacing w:before="160" w:after="80"/>
      </w:pPr>
      <w:r>
        <w:rPr>
          <w:rFonts w:ascii="SimHei" w:hAnsi="SimHei" w:eastAsia="SimHei" w:cs="SimHei"/>
          <w:color w:val="000000"/>
          <w:sz w:val="23"/>
        </w:rPr>
        <w:t>5.4.1 方法公式清单</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对象</w:t>
            </w:r>
          </w:p>
        </w:tc>
        <w:tc>
          <w:tcPr>
            <w:tcW w:type="dxa" w:w="385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推荐表达</w:t>
            </w:r>
          </w:p>
        </w:tc>
        <w:tc>
          <w:tcPr>
            <w:tcW w:type="dxa" w:w="357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说明</w:t>
            </w:r>
          </w:p>
        </w:tc>
      </w:tr>
      <w:tr>
        <w:trPr>
          <w:cantSplit/>
        </w:trPr>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小时速度</w:t>
            </w:r>
          </w:p>
        </w:tc>
        <w:tc>
          <w:tcPr>
            <w:tcW w:type="dxa" w:w="385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v_{n,h} = (1/m_{n,h}) Σ v_{n,q}</w:t>
            </w:r>
          </w:p>
        </w:tc>
        <w:tc>
          <w:tcPr>
            <w:tcW w:type="dxa" w:w="357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m满足资格阈值；说明是否加权。</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未来窗口目标</w:t>
            </w:r>
          </w:p>
        </w:tc>
        <w:tc>
          <w:tcPr>
            <w:tcW w:type="dxa" w:w="385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y_{n,t}^{(H)} = (1/k) Σ_{j=1}^{H} v_{n,t+j}</w:t>
            </w:r>
          </w:p>
        </w:tc>
        <w:tc>
          <w:tcPr>
            <w:tcW w:type="dxa" w:w="357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H=1,3,6；k为有效未来小时数。</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MAE</w:t>
            </w:r>
          </w:p>
        </w:tc>
        <w:tc>
          <w:tcPr>
            <w:tcW w:type="dxa" w:w="385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(1/N) Σ |ŷ_i-y_i|</w:t>
            </w:r>
          </w:p>
        </w:tc>
        <w:tc>
          <w:tcPr>
            <w:tcW w:type="dxa" w:w="357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主精度指标，单位km/h。</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RMSE</w:t>
            </w:r>
          </w:p>
        </w:tc>
        <w:tc>
          <w:tcPr>
            <w:tcW w:type="dxa" w:w="385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sqrt[(1/N) Σ(ŷ_i-y_i)^2]</w:t>
            </w:r>
          </w:p>
        </w:tc>
        <w:tc>
          <w:tcPr>
            <w:tcW w:type="dxa" w:w="357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强调大误差。</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sMAPE</w:t>
            </w:r>
          </w:p>
        </w:tc>
        <w:tc>
          <w:tcPr>
            <w:tcW w:type="dxa" w:w="385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(100/N) Σ 2|ŷ_i-y_i|/(|y_i|+|ŷ_i|+ε)</w:t>
            </w:r>
          </w:p>
        </w:tc>
        <w:tc>
          <w:tcPr>
            <w:tcW w:type="dxa" w:w="357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固定ε并说明。</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R²</w:t>
            </w:r>
          </w:p>
        </w:tc>
        <w:tc>
          <w:tcPr>
            <w:tcW w:type="dxa" w:w="385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1-Σ(y_i-ŷ_i)^2/Σ(y_i-ȳ)^2</w:t>
            </w:r>
          </w:p>
        </w:tc>
        <w:tc>
          <w:tcPr>
            <w:tcW w:type="dxa" w:w="357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仅在分母非零时报告。</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Bias</w:t>
            </w:r>
          </w:p>
        </w:tc>
        <w:tc>
          <w:tcPr>
            <w:tcW w:type="dxa" w:w="385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(1/N) Σ(ŷ_i-y_i)</w:t>
            </w:r>
          </w:p>
        </w:tc>
        <w:tc>
          <w:tcPr>
            <w:tcW w:type="dxa" w:w="357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正值=高估速度，负值=低估。</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Coverage</w:t>
            </w:r>
          </w:p>
        </w:tc>
        <w:tc>
          <w:tcPr>
            <w:tcW w:type="dxa" w:w="385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eligible slots / theoretical slots</w:t>
            </w:r>
          </w:p>
        </w:tc>
        <w:tc>
          <w:tcPr>
            <w:tcW w:type="dxa" w:w="357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需区分小时、历史窗和目标窗coverage。</w:t>
            </w:r>
          </w:p>
        </w:tc>
      </w:tr>
    </w:tbl>
    <w:p>
      <w:pPr>
        <w:widowControl w:val="1"/>
        <w:spacing w:after="80" w:line="276" w:lineRule="auto"/>
      </w:pPr>
    </w:p>
    <w:p>
      <w:pPr>
        <w:widowControl w:val="1"/>
        <w:spacing w:after="80" w:line="276" w:lineRule="auto"/>
      </w:pPr>
      <w:r>
        <w:rPr>
          <w:rFonts w:ascii="SimHei" w:hAnsi="SimHei" w:eastAsia="SimHei" w:cs="SimHei"/>
          <w:color w:val="000000"/>
          <w:sz w:val="21"/>
        </w:rPr>
        <w:drawing>
          <wp:inline xmlns:a="http://schemas.openxmlformats.org/drawingml/2006/main" xmlns:pic="http://schemas.openxmlformats.org/drawingml/2006/picture">
            <wp:extent cx="5903999" cy="2833522"/>
            <wp:docPr id="2" name="Picture 2"/>
            <wp:cNvGraphicFramePr>
              <a:graphicFrameLocks noChangeAspect="1"/>
            </wp:cNvGraphicFramePr>
            <a:graphic>
              <a:graphicData uri="http://schemas.openxmlformats.org/drawingml/2006/picture">
                <pic:pic>
                  <pic:nvPicPr>
                    <pic:cNvPr id="0" name="rolling_origin_schematic.png"/>
                    <pic:cNvPicPr/>
                  </pic:nvPicPr>
                  <pic:blipFill>
                    <a:blip r:embed="rId12"/>
                    <a:stretch>
                      <a:fillRect/>
                    </a:stretch>
                  </pic:blipFill>
                  <pic:spPr>
                    <a:xfrm>
                      <a:off x="0" y="0"/>
                      <a:ext cx="5903999" cy="2833522"/>
                    </a:xfrm>
                    <a:prstGeom prst="rect"/>
                  </pic:spPr>
                </pic:pic>
              </a:graphicData>
            </a:graphic>
          </wp:inline>
        </w:drawing>
      </w:r>
    </w:p>
    <w:p>
      <w:pPr>
        <w:spacing w:after="80" w:line="276" w:lineRule="auto"/>
        <w:jc w:val="center"/>
        <w:widowControl w:val="1"/>
      </w:pPr>
      <w:r>
        <w:rPr>
          <w:rFonts w:ascii="SimHei" w:hAnsi="SimHei" w:eastAsia="SimHei" w:cs="SimHei"/>
          <w:i/>
          <w:color w:val="000000"/>
          <w:sz w:val="21"/>
        </w:rPr>
        <w:t>图B  六折回顾性滚动来源评价示意；正式论文须用最终冻结日期替换示意边界</w:t>
      </w:r>
    </w:p>
    <w:p>
      <w:pPr>
        <w:pStyle w:val="Heading2"/>
        <w:keepNext/>
        <w:widowControl w:val="1"/>
        <w:spacing w:before="200" w:after="100"/>
      </w:pPr>
      <w:r>
        <w:rPr>
          <w:rFonts w:ascii="SimHei" w:hAnsi="SimHei" w:eastAsia="SimHei" w:cs="SimHei"/>
          <w:color w:val="000000"/>
          <w:sz w:val="26"/>
        </w:rPr>
        <w:t>5.5 Results</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98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小节</w:t>
            </w:r>
          </w:p>
        </w:tc>
        <w:tc>
          <w:tcPr>
            <w:tcW w:type="dxa" w:w="459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结果叙事</w:t>
            </w:r>
          </w:p>
        </w:tc>
        <w:tc>
          <w:tcPr>
            <w:tcW w:type="dxa" w:w="255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图表与约束</w:t>
            </w:r>
          </w:p>
        </w:tc>
      </w:tr>
      <w:tr>
        <w:trPr>
          <w:cantSplit/>
        </w:trPr>
        <w:tc>
          <w:tcPr>
            <w:tcW w:type="dxa" w:w="198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5.1 Data integrity and sample formation</w:t>
            </w:r>
          </w:p>
        </w:tc>
        <w:tc>
          <w:tcPr>
            <w:tcW w:type="dxa" w:w="459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先报告理论网格、原始记录、去重、quality eligibility、小时聚合、history/target资格和最终样本数。</w:t>
            </w:r>
          </w:p>
        </w:tc>
        <w:tc>
          <w:tcPr>
            <w:tcW w:type="dxa" w:w="255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Fig.2 + Tables 1–2；回答RQ1。</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5.2 Main multi-horizon benchmark</w:t>
            </w:r>
          </w:p>
        </w:tc>
        <w:tc>
          <w:tcPr>
            <w:tcW w:type="dxa" w:w="459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共同样本下按H1/H3/H6报告各模型MAE、RMSE、sMAPE、R²和Bias。</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Fig.4 + Table 5；先总体后时距。</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5.3 Fold stability and ranking</w:t>
            </w:r>
          </w:p>
        </w:tc>
        <w:tc>
          <w:tcPr>
            <w:tcW w:type="dxa" w:w="459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报告每折结果、均值±SD、最差折、模型胜率、排名变化。</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Fig.5 + Table 6；回答RQ2。</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5.4 Reliability-stratified performance</w:t>
            </w:r>
          </w:p>
        </w:tc>
        <w:tc>
          <w:tcPr>
            <w:tcW w:type="dxa" w:w="459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coverage、confidence、gap、volatility、node、weekday/weekend或speed regime。</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Fig.6 + Table 7；分层阈值预先定义。</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5.5 Sensitivity analyses</w:t>
            </w:r>
          </w:p>
        </w:tc>
        <w:tc>
          <w:tcPr>
            <w:tcW w:type="dxa" w:w="459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2/4 vs 3/4 vs 4/4；H6 5/6 vs 6/6；均值/中位数；可选阈值敏感性。</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Fig.7 + Table 8；回答RQ1/RQ3。</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5.6 Historical final-week comparison</w:t>
            </w:r>
          </w:p>
        </w:tc>
        <w:tc>
          <w:tcPr>
            <w:tcW w:type="dxa" w:w="459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只比较六折结论与旧暴露周是否一致，不称external validation。</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Fig.8或SI；回答RQ4。</w:t>
            </w:r>
          </w:p>
        </w:tc>
      </w:tr>
    </w:tbl>
    <w:p>
      <w:pPr>
        <w:widowControl w:val="1"/>
        <w:spacing w:after="80" w:line="276" w:lineRule="auto"/>
      </w:pPr>
    </w:p>
    <w:p>
      <w:pPr>
        <w:pStyle w:val="Heading3"/>
        <w:keepNext/>
        <w:widowControl w:val="1"/>
        <w:spacing w:before="160" w:after="80"/>
      </w:pPr>
      <w:r>
        <w:rPr>
          <w:rFonts w:ascii="SimHei" w:hAnsi="SimHei" w:eastAsia="SimHei" w:cs="SimHei"/>
          <w:color w:val="000000"/>
          <w:sz w:val="23"/>
        </w:rPr>
        <w:t>5.5.1 Results段落固定结构</w:t>
      </w:r>
    </w:p>
    <w:p>
      <w:pPr>
        <w:spacing w:after="80" w:line="276" w:lineRule="auto"/>
        <w:ind w:left="369" w:hanging="369"/>
        <w:widowControl w:val="1"/>
      </w:pPr>
      <w:r>
        <w:rPr>
          <w:rFonts w:ascii="SimHei" w:hAnsi="SimHei" w:eastAsia="SimHei" w:cs="SimHei"/>
          <w:b/>
          <w:color w:val="000000"/>
          <w:sz w:val="21"/>
        </w:rPr>
        <w:t xml:space="preserve">1. </w:t>
      </w:r>
      <w:r>
        <w:rPr>
          <w:rFonts w:ascii="SimHei" w:hAnsi="SimHei" w:eastAsia="SimHei" w:cs="SimHei"/>
          <w:color w:val="000000"/>
          <w:sz w:val="21"/>
        </w:rPr>
        <w:t>第一句给出该段的主要发现，不先堆数值。</w:t>
      </w:r>
    </w:p>
    <w:p>
      <w:pPr>
        <w:spacing w:after="80" w:line="276" w:lineRule="auto"/>
        <w:ind w:left="369" w:hanging="369"/>
        <w:widowControl w:val="1"/>
      </w:pPr>
      <w:r>
        <w:rPr>
          <w:rFonts w:ascii="SimHei" w:hAnsi="SimHei" w:eastAsia="SimHei" w:cs="SimHei"/>
          <w:b/>
          <w:color w:val="000000"/>
          <w:sz w:val="21"/>
        </w:rPr>
        <w:t xml:space="preserve">2. </w:t>
      </w:r>
      <w:r>
        <w:rPr>
          <w:rFonts w:ascii="SimHei" w:hAnsi="SimHei" w:eastAsia="SimHei" w:cs="SimHei"/>
          <w:color w:val="000000"/>
          <w:sz w:val="21"/>
        </w:rPr>
        <w:t>第二至三句报告支撑该发现的核心数值、置信区间和样本量。</w:t>
      </w:r>
    </w:p>
    <w:p>
      <w:pPr>
        <w:spacing w:after="80" w:line="276" w:lineRule="auto"/>
        <w:ind w:left="369" w:hanging="369"/>
        <w:widowControl w:val="1"/>
      </w:pPr>
      <w:r>
        <w:rPr>
          <w:rFonts w:ascii="SimHei" w:hAnsi="SimHei" w:eastAsia="SimHei" w:cs="SimHei"/>
          <w:b/>
          <w:color w:val="000000"/>
          <w:sz w:val="21"/>
        </w:rPr>
        <w:t xml:space="preserve">3. </w:t>
      </w:r>
      <w:r>
        <w:rPr>
          <w:rFonts w:ascii="SimHei" w:hAnsi="SimHei" w:eastAsia="SimHei" w:cs="SimHei"/>
          <w:color w:val="000000"/>
          <w:sz w:val="21"/>
        </w:rPr>
        <w:t>第四句指出跨折、跨时距或跨节点是否一致。</w:t>
      </w:r>
    </w:p>
    <w:p>
      <w:pPr>
        <w:spacing w:after="80" w:line="276" w:lineRule="auto"/>
        <w:ind w:left="369" w:hanging="369"/>
        <w:widowControl w:val="1"/>
      </w:pPr>
      <w:r>
        <w:rPr>
          <w:rFonts w:ascii="SimHei" w:hAnsi="SimHei" w:eastAsia="SimHei" w:cs="SimHei"/>
          <w:b/>
          <w:color w:val="000000"/>
          <w:sz w:val="21"/>
        </w:rPr>
        <w:t xml:space="preserve">4. </w:t>
      </w:r>
      <w:r>
        <w:rPr>
          <w:rFonts w:ascii="SimHei" w:hAnsi="SimHei" w:eastAsia="SimHei" w:cs="SimHei"/>
          <w:color w:val="000000"/>
          <w:sz w:val="21"/>
        </w:rPr>
        <w:t>最后一句只说明证据边界，不在Results中展开机制解释。</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746"/>
            <w:tcMar>
              <w:top w:w="80" w:type="dxa"/>
              <w:start w:w="90" w:type="dxa"/>
              <w:bottom w:w="80" w:type="dxa"/>
              <w:end w:w="90" w:type="dxa"/>
            </w:tcMar>
            <w:vAlign w:val="center"/>
            <w:shd w:val="clear" w:fill="FFFFFF"/>
          </w:tcPr>
          <w:p>
            <w:pPr>
              <w:pStyle w:val="Callout"/>
              <w:spacing w:before="0" w:after="40" w:line="259" w:lineRule="auto"/>
            </w:pPr>
            <w:r>
              <w:rPr>
                <w:rFonts w:ascii="SimHei" w:hAnsi="SimHei" w:eastAsia="SimHei" w:cs="SimHei"/>
                <w:b w:val="0"/>
                <w:color w:val="000000"/>
                <w:sz w:val="19"/>
              </w:rPr>
              <w:t>禁止写法：只按模型逐行复述表格；只报告平均MAE而不报告最差折；把未显著差异写成“improved”；忽略模型共同样本数。</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5.6 Discussion</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204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小节</w:t>
            </w:r>
          </w:p>
        </w:tc>
        <w:tc>
          <w:tcPr>
            <w:tcW w:type="dxa" w:w="464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讨论任务</w:t>
            </w:r>
          </w:p>
        </w:tc>
        <w:tc>
          <w:tcPr>
            <w:tcW w:type="dxa" w:w="243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写作限制</w:t>
            </w:r>
          </w:p>
        </w:tc>
      </w:tr>
      <w:tr>
        <w:trPr>
          <w:cantSplit/>
        </w:trPr>
        <w:tc>
          <w:tcPr>
            <w:tcW w:type="dxa" w:w="204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6.1 Main findings by research question</w:t>
            </w:r>
          </w:p>
        </w:tc>
        <w:tc>
          <w:tcPr>
            <w:tcW w:type="dxa" w:w="464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用4个RQ组织，不重复全部数值。</w:t>
            </w:r>
          </w:p>
        </w:tc>
        <w:tc>
          <w:tcPr>
            <w:tcW w:type="dxa" w:w="243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每个RQ一段或一组段落。</w:t>
            </w:r>
          </w:p>
        </w:tc>
      </w:tr>
      <w:tr>
        <w:trPr>
          <w:cantSplit/>
        </w:trPr>
        <w:tc>
          <w:tcPr>
            <w:tcW w:type="dxa" w:w="204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6.2 Why protocol changes the evidence</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解释理论网格、共同样本和rolling-origin为何比单一测试周更可靠。</w:t>
            </w:r>
          </w:p>
        </w:tc>
        <w:tc>
          <w:tcPr>
            <w:tcW w:type="dxa" w:w="243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与RQ4连接；承认回顾性限制。</w:t>
            </w:r>
          </w:p>
        </w:tc>
      </w:tr>
      <w:tr>
        <w:trPr>
          <w:cantSplit/>
        </w:trPr>
        <w:tc>
          <w:tcPr>
            <w:tcW w:type="dxa" w:w="204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6.3 Model complexity under short and sparse histories</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解释简单模型/树模型/序列模型的稳定性差异。</w:t>
            </w:r>
          </w:p>
        </w:tc>
        <w:tc>
          <w:tcPr>
            <w:tcW w:type="dxa" w:w="243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只有正式结果支持后写；避免事后故事。</w:t>
            </w:r>
          </w:p>
        </w:tc>
      </w:tr>
      <w:tr>
        <w:trPr>
          <w:cantSplit/>
        </w:trPr>
        <w:tc>
          <w:tcPr>
            <w:tcW w:type="dxa" w:w="204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6.4 Data reliability and failure boundaries</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解释coverage、gap、confidence、波动与误差的关联。</w:t>
            </w:r>
          </w:p>
        </w:tc>
        <w:tc>
          <w:tcPr>
            <w:tcW w:type="dxa" w:w="243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使用may/could/was associated with。</w:t>
            </w:r>
          </w:p>
        </w:tc>
      </w:tr>
      <w:tr>
        <w:trPr>
          <w:cantSplit/>
        </w:trPr>
        <w:tc>
          <w:tcPr>
            <w:tcW w:type="dxa" w:w="204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6.5 Engineering implications</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给交通管理者：最低数据资格、可靠预测时距、监控告警、何时不应自动使用预测。</w:t>
            </w:r>
          </w:p>
        </w:tc>
        <w:tc>
          <w:tcPr>
            <w:tcW w:type="dxa" w:w="243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必须由结果形成明确边界。</w:t>
            </w:r>
          </w:p>
        </w:tc>
      </w:tr>
      <w:tr>
        <w:trPr>
          <w:cantSplit/>
        </w:trPr>
        <w:tc>
          <w:tcPr>
            <w:tcW w:type="dxa" w:w="204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6.6 Limitations</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单走廊、短时间、商业平台偏差、无固定检测器真值、provider_status缺失、最终周暴露、外部泛化不足。</w:t>
            </w:r>
          </w:p>
        </w:tc>
        <w:tc>
          <w:tcPr>
            <w:tcW w:type="dxa" w:w="243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每个限制说明影响及未来补救。</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5.7 Conclusions</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41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段落</w:t>
            </w:r>
          </w:p>
        </w:tc>
        <w:tc>
          <w:tcPr>
            <w:tcW w:type="dxa" w:w="5216"/>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内容</w:t>
            </w:r>
          </w:p>
        </w:tc>
        <w:tc>
          <w:tcPr>
            <w:tcW w:type="dxa" w:w="249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限制</w:t>
            </w:r>
          </w:p>
        </w:tc>
      </w:tr>
      <w:tr>
        <w:trPr>
          <w:cantSplit/>
        </w:trPr>
        <w:tc>
          <w:tcPr>
            <w:tcW w:type="dxa" w:w="141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段1</w:t>
            </w:r>
          </w:p>
        </w:tc>
        <w:tc>
          <w:tcPr>
            <w:tcW w:type="dxa" w:w="5216"/>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目的与方法：用一句话重申数据问题和rolling-origin设计。</w:t>
            </w:r>
          </w:p>
        </w:tc>
        <w:tc>
          <w:tcPr>
            <w:tcW w:type="dxa" w:w="249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不重复引言。</w:t>
            </w:r>
          </w:p>
        </w:tc>
      </w:tr>
      <w:tr>
        <w:trPr>
          <w:cantSplit/>
        </w:trPr>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段2</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主要结果：最可靠时距、稳定模型、质量失效边界。</w:t>
            </w:r>
          </w:p>
        </w:tc>
        <w:tc>
          <w:tcPr>
            <w:tcW w:type="dxa" w:w="249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仅填最关键数值或不填具体数值。</w:t>
            </w:r>
          </w:p>
        </w:tc>
      </w:tr>
      <w:tr>
        <w:trPr>
          <w:cantSplit/>
        </w:trPr>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段3</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工程意义：部署时同时检查精度、折间稳定性和数据资格。</w:t>
            </w:r>
          </w:p>
        </w:tc>
        <w:tc>
          <w:tcPr>
            <w:tcW w:type="dxa" w:w="249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不宣称替代固定传感器。</w:t>
            </w:r>
          </w:p>
        </w:tc>
      </w:tr>
      <w:tr>
        <w:trPr>
          <w:cantSplit/>
        </w:trPr>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段4</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限制与下一步：更长时间、跨走廊、独立传感器真值、前瞻性锁定测试。</w:t>
            </w:r>
          </w:p>
        </w:tc>
        <w:tc>
          <w:tcPr>
            <w:tcW w:type="dxa" w:w="249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保持简短。</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5.8 Statements and Declarations</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trPr>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声明</w:t>
            </w:r>
          </w:p>
        </w:tc>
        <w:tc>
          <w:tcPr>
            <w:tcW w:type="dxa" w:w="691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准备内容</w:t>
            </w:r>
          </w:p>
        </w:tc>
      </w:tr>
      <w:tr>
        <w:trPr>
          <w:cantSplit/>
        </w:trPr>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Funding</w:t>
            </w:r>
          </w:p>
        </w:tc>
        <w:tc>
          <w:tcPr>
            <w:tcW w:type="dxa" w:w="691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填写真实项目/奖学金/无专项资助。</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Competing Interests</w:t>
            </w:r>
          </w:p>
        </w:tc>
        <w:tc>
          <w:tcPr>
            <w:tcW w:type="dxa" w:w="69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通常写作者声明无相关财务或非财务利益；需全体作者确认。</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Author Contributions</w:t>
            </w:r>
          </w:p>
        </w:tc>
        <w:tc>
          <w:tcPr>
            <w:tcW w:type="dxa" w:w="69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按CRediT或期刊接受格式，明确数据、软件、分析、写作和监督。</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Data Availability</w:t>
            </w:r>
          </w:p>
        </w:tc>
        <w:tc>
          <w:tcPr>
            <w:tcW w:type="dxa" w:w="69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商业FCD不可完全公开时，说明限制；公开代码、manifest、派生聚合数据或合成样例。</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Code Availability</w:t>
            </w:r>
          </w:p>
        </w:tc>
        <w:tc>
          <w:tcPr>
            <w:tcW w:type="dxa" w:w="69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GitHub/Zenodo版本、release tag、DOI和commit hash。</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Ethics</w:t>
            </w:r>
          </w:p>
        </w:tc>
        <w:tc>
          <w:tcPr>
            <w:tcW w:type="dxa" w:w="69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若不涉及人/动物，说明not applicable；仍需核对平台数据许可。</w:t>
            </w:r>
          </w:p>
        </w:tc>
      </w:tr>
      <w:tr>
        <w:trPr>
          <w:cantSplit/>
        </w:trPr>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AI assistance</w:t>
            </w:r>
          </w:p>
        </w:tc>
        <w:tc>
          <w:tcPr>
            <w:tcW w:type="dxa" w:w="69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仅语言copy editing通常无需声明；若生成性参与实质内容，需按Springer政策处理并由作者负责。</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6. 多子图总体设计与逐图面板规划</w:t>
      </w:r>
    </w:p>
    <w:p>
      <w:pPr>
        <w:widowControl w:val="1"/>
        <w:spacing w:after="80" w:line="276" w:lineRule="auto"/>
      </w:pPr>
      <w:r>
        <w:rPr>
          <w:rFonts w:ascii="SimHei" w:hAnsi="SimHei" w:eastAsia="SimHei" w:cs="SimHei"/>
          <w:color w:val="000000"/>
          <w:sz w:val="21"/>
        </w:rPr>
        <w:t>建议主文控制在6–8幅多子图。每幅图围绕一个研究问题组织，而不是把互不相关的小图机械拼接。多数多子图使用174 mm双栏宽度；单一简图可使用84 mm单栏宽度。</w:t>
      </w:r>
    </w:p>
    <w:p>
      <w:pPr>
        <w:widowControl w:val="1"/>
        <w:spacing w:after="80" w:line="276" w:lineRule="auto"/>
      </w:pPr>
      <w:r>
        <w:rPr>
          <w:rFonts w:ascii="SimHei" w:hAnsi="SimHei" w:eastAsia="SimHei" w:cs="SimHei"/>
          <w:color w:val="000000"/>
          <w:sz w:val="21"/>
        </w:rPr>
        <w:drawing>
          <wp:inline xmlns:a="http://schemas.openxmlformats.org/drawingml/2006/main" xmlns:pic="http://schemas.openxmlformats.org/drawingml/2006/picture">
            <wp:extent cx="5903999" cy="3324100"/>
            <wp:docPr id="3" name="Picture 3"/>
            <wp:cNvGraphicFramePr>
              <a:graphicFrameLocks noChangeAspect="1"/>
            </wp:cNvGraphicFramePr>
            <a:graphic>
              <a:graphicData uri="http://schemas.openxmlformats.org/drawingml/2006/picture">
                <pic:pic>
                  <pic:nvPicPr>
                    <pic:cNvPr id="0" name="figure_architecture.png"/>
                    <pic:cNvPicPr/>
                  </pic:nvPicPr>
                  <pic:blipFill>
                    <a:blip r:embed="rId13"/>
                    <a:stretch>
                      <a:fillRect/>
                    </a:stretch>
                  </pic:blipFill>
                  <pic:spPr>
                    <a:xfrm>
                      <a:off x="0" y="0"/>
                      <a:ext cx="5903999" cy="3324100"/>
                    </a:xfrm>
                    <a:prstGeom prst="rect"/>
                  </pic:spPr>
                </pic:pic>
              </a:graphicData>
            </a:graphic>
          </wp:inline>
        </w:drawing>
      </w:r>
    </w:p>
    <w:p>
      <w:pPr>
        <w:spacing w:after="80" w:line="276" w:lineRule="auto"/>
        <w:jc w:val="center"/>
        <w:widowControl w:val="1"/>
      </w:pPr>
      <w:r>
        <w:rPr>
          <w:rFonts w:ascii="SimHei" w:hAnsi="SimHei" w:eastAsia="SimHei" w:cs="SimHei"/>
          <w:i/>
          <w:color w:val="000000"/>
          <w:sz w:val="21"/>
        </w:rPr>
        <w:t>图C  推荐的主文多子图架构；最终可将部分敏感性和案例移入Supplementary Information</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49"/>
        <w:gridCol w:w="1949"/>
        <w:gridCol w:w="1949"/>
        <w:gridCol w:w="1949"/>
        <w:gridCol w:w="1949"/>
      </w:tblGrid>
      <w:tr>
        <w:trPr>
          <w:tblHeader w:val="true"/>
          <w:cantSplit/>
        </w:trPr>
        <w:tc>
          <w:tcPr>
            <w:tcW w:type="dxa" w:w="175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图</w:t>
            </w:r>
          </w:p>
        </w:tc>
        <w:tc>
          <w:tcPr>
            <w:tcW w:type="dxa" w:w="340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面板设计</w:t>
            </w:r>
          </w:p>
        </w:tc>
        <w:tc>
          <w:tcPr>
            <w:tcW w:type="dxa" w:w="141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回答问题</w:t>
            </w:r>
          </w:p>
        </w:tc>
        <w:tc>
          <w:tcPr>
            <w:tcW w:type="dxa" w:w="187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质量控制</w:t>
            </w:r>
          </w:p>
        </w:tc>
        <w:tc>
          <w:tcPr>
            <w:tcW w:type="dxa" w:w="1020"/>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当前状态</w:t>
            </w:r>
          </w:p>
        </w:tc>
      </w:tr>
      <w:tr>
        <w:trPr>
          <w:cantSplit/>
        </w:trPr>
        <w:tc>
          <w:tcPr>
            <w:tcW w:type="dxa" w:w="175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Fig. 1 Study area and observation design</w:t>
            </w:r>
          </w:p>
        </w:tc>
        <w:tc>
          <w:tcPr>
            <w:tcW w:type="dxa" w:w="340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(a) Malaysia–Sarawak定位；(b) Pan Borneo走廊与51节点；(c) 按里程排序的节点/间距；(d) 2025-12-08至2026-02-28采集时间线</w:t>
            </w:r>
          </w:p>
        </w:tc>
        <w:tc>
          <w:tcPr>
            <w:tcW w:type="dxa" w:w="141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研究场景、空间分析单位、节点顺序</w:t>
            </w:r>
          </w:p>
        </w:tc>
        <w:tc>
          <w:tcPr>
            <w:tcW w:type="dxa" w:w="187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地图比例尺、指北针、坐标系、节点编号；不在地图上堆过多文字</w:t>
            </w:r>
          </w:p>
        </w:tc>
        <w:tc>
          <w:tcPr>
            <w:tcW w:type="dxa" w:w="1020"/>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现在可生成框架；最终坐标核验后导出</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 2 Data integrity and eligibility</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理论网格与原始记录流；(b) daily×node coverage heatmap；(c) confidence分布；(d) valid slots分布；(e) missing-run length；(f) 数据筛选Sankey/flow counts</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RQ1：数据完整性和样本资格</w:t>
            </w:r>
          </w:p>
        </w:tc>
        <w:tc>
          <w:tcPr>
            <w:tcW w:type="dxa" w:w="187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每个面板使用同一时间/节点定义；flow counts必须与表2一致</w:t>
            </w:r>
          </w:p>
        </w:tc>
        <w:tc>
          <w:tcPr>
            <w:tcW w:type="dxa" w:w="102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等待稳定快照</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 3 Forecasting protocol and audit</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总体流程；(b) 24h history和H1/H3/H6目标；(c) 六折rolling-origin；(d) H6 purge；(e) common manifest字段；(f) leakage audit gates</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方法可复现性</w:t>
            </w:r>
          </w:p>
        </w:tc>
        <w:tc>
          <w:tcPr>
            <w:tcW w:type="dxa" w:w="187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纯矢量；不包含结果；可先完成</w:t>
            </w:r>
          </w:p>
        </w:tc>
        <w:tc>
          <w:tcPr>
            <w:tcW w:type="dxa" w:w="102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现在可生成，日期后替换</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 4 Main model performance</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H1 MAE；(b) H3 MAE；(c) H6 MAE；(d) RMSE；(e) Bias；(f) R²或sMAPE/模型排名</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RQ2：主benchmark</w:t>
            </w:r>
          </w:p>
        </w:tc>
        <w:tc>
          <w:tcPr>
            <w:tcW w:type="dxa" w:w="187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显示fold点+均值/CI，不只画柱状均值；共同样本</w:t>
            </w:r>
          </w:p>
        </w:tc>
        <w:tc>
          <w:tcPr>
            <w:tcW w:type="dxa" w:w="102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等待正式结果</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 5 Temporal stability</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model×fold MAE heatmap H1；(b) H3；(c) H6；(d) rank stability；(e) worst-fold penalty</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RQ2：时间稳定性</w:t>
            </w:r>
          </w:p>
        </w:tc>
        <w:tc>
          <w:tcPr>
            <w:tcW w:type="dxa" w:w="187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颜色同时配数字或符号；报告fold样本量</w:t>
            </w:r>
          </w:p>
        </w:tc>
        <w:tc>
          <w:tcPr>
            <w:tcW w:type="dxa" w:w="102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等待正式结果</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 6 Reliability–error relationships</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coverage strata；(b) confidence strata；(c) gap length；(d) volatility；(e) node-level spatial MAE；(f) error reliability surface/heatmap</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RQ3：失效边界</w:t>
            </w:r>
          </w:p>
        </w:tc>
        <w:tc>
          <w:tcPr>
            <w:tcW w:type="dxa" w:w="187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分层阈值在看结果前冻结；同时报告样本量</w:t>
            </w:r>
          </w:p>
        </w:tc>
        <w:tc>
          <w:tcPr>
            <w:tcW w:type="dxa" w:w="102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等待正式结果</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 7 Sensitivity and robustness</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2/4、3/4、4/4样本量；(b) 各规则MAE；(c) H6 5/6 vs 6/6；(d) mean vs median aggregation；(e) 阈值敏感性；(f) ranking consistency</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RQ1/RQ3：规则敏感性</w:t>
            </w:r>
          </w:p>
        </w:tc>
        <w:tc>
          <w:tcPr>
            <w:tcW w:type="dxa" w:w="187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主分析与敏感性结果不能混在同一数值列</w:t>
            </w:r>
          </w:p>
        </w:tc>
        <w:tc>
          <w:tcPr>
            <w:tcW w:type="dxa" w:w="102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等待正式结果</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 8 Historical comparison and cases</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 rolling-origin vs exposed-week ranking；(b) 差异分布；(c) 典型稳定节点时序；(d) 典型失败节点时序</w:t>
            </w:r>
          </w:p>
        </w:tc>
        <w:tc>
          <w:tcPr>
            <w:tcW w:type="dxa" w:w="141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RQ4和工程解释</w:t>
            </w:r>
          </w:p>
        </w:tc>
        <w:tc>
          <w:tcPr>
            <w:tcW w:type="dxa" w:w="187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图题明确historical/previously exposed；不能使用blind/external</w:t>
            </w:r>
          </w:p>
        </w:tc>
        <w:tc>
          <w:tcPr>
            <w:tcW w:type="dxa" w:w="102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等待正式结果</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6.1 图件统一视觉规范</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trPr>
        <w:tc>
          <w:tcPr>
            <w:tcW w:type="dxa" w:w="198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要素</w:t>
            </w:r>
          </w:p>
        </w:tc>
        <w:tc>
          <w:tcPr>
            <w:tcW w:type="dxa" w:w="7200"/>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执行标准</w:t>
            </w:r>
          </w:p>
        </w:tc>
      </w:tr>
      <w:tr>
        <w:trPr>
          <w:cantSplit/>
        </w:trPr>
        <w:tc>
          <w:tcPr>
            <w:tcW w:type="dxa" w:w="198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尺寸</w:t>
            </w:r>
          </w:p>
        </w:tc>
        <w:tc>
          <w:tcPr>
            <w:tcW w:type="dxa" w:w="7200"/>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单栏84 mm；双栏174 mm；高度≤234 mm。多子图优先双栏。</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面板标记</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左上角使用粗体(a)、(b)…；所有图统一位置和字号。</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字体</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Arial/Helvetica；最终版8–12 pt；轴标题和图例大小尽量一致。</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线宽</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线图在最终尺寸下≥0.3 pt；关键线建议更清晰。</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颜色</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RGB；即使转灰度仍可区分；结合线型、点型、纹理或直接标签。</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分辨率</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线稿优先EPS/PDF/SVG矢量；半色调≥300 dpi；组合图≥600 dpi；纯位图线稿≥1200 dpi。</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图内文字</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不放完整标题和长句；caption在稿件中解释所有panel。</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统计表达</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优先显示fold点、置信区间、样本量或分布；避免只有柱形均值。</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输出文件</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Fig1.eps / Fig1.tif等规范命名；保留绘图代码和原始数据CSV。</w:t>
            </w:r>
          </w:p>
        </w:tc>
      </w:tr>
      <w:tr>
        <w:trPr>
          <w:cantSplit/>
        </w:trPr>
        <w:tc>
          <w:tcPr>
            <w:tcW w:type="dxa" w:w="198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可访问性</w:t>
            </w:r>
          </w:p>
        </w:tc>
        <w:tc>
          <w:tcPr>
            <w:tcW w:type="dxa" w:w="720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对比度≥4.5:1；不能只依赖颜色传达信息。</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6.2 哪些图现在可以生成</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3"/>
        <w:gridCol w:w="4873"/>
      </w:tblGrid>
      <w:tr>
        <w:trPr>
          <w:tblHeader w:val="true"/>
          <w:cantSplit/>
        </w:trPr>
        <w:tc>
          <w:tcPr>
            <w:tcW w:type="dxa" w:w="238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类别</w:t>
            </w:r>
          </w:p>
        </w:tc>
        <w:tc>
          <w:tcPr>
            <w:tcW w:type="dxa" w:w="6803"/>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内容</w:t>
            </w:r>
          </w:p>
        </w:tc>
      </w:tr>
      <w:tr>
        <w:trPr>
          <w:cantSplit/>
        </w:trPr>
        <w:tc>
          <w:tcPr>
            <w:tcW w:type="dxa" w:w="238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可以现在生成</w:t>
            </w:r>
          </w:p>
        </w:tc>
        <w:tc>
          <w:tcPr>
            <w:tcW w:type="dxa" w:w="6803"/>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Fig.3方法流程的(a)–(f)；Fig.1基础地图框架；所有结果图的空白模板、颜色/符号/面板布局。</w:t>
            </w:r>
          </w:p>
        </w:tc>
      </w:tr>
      <w:tr>
        <w:trPr>
          <w:cantSplit/>
        </w:trPr>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需等稳定数据</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Fig.2所有审计数值；Fig.4–8所有模型和质量分层结果。</w:t>
            </w:r>
          </w:p>
        </w:tc>
      </w:tr>
      <w:tr>
        <w:trPr>
          <w:cantSplit/>
        </w:trPr>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可先做但需替换</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六折时间线、节点数量、日期、模型名称和阈值标签。</w:t>
            </w:r>
          </w:p>
        </w:tc>
      </w:tr>
      <w:tr>
        <w:trPr>
          <w:cantSplit/>
        </w:trPr>
        <w:tc>
          <w:tcPr>
            <w:tcW w:type="dxa" w:w="238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不建议用生成式图像</w:t>
            </w:r>
          </w:p>
        </w:tc>
        <w:tc>
          <w:tcPr>
            <w:tcW w:type="dxa" w:w="680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统计结果、地图、流程中的具体科学对象应由代码/矢量工具生成，保证可复算。</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7. 主要表格与补充材料规划</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trPr>
        <w:tc>
          <w:tcPr>
            <w:tcW w:type="dxa" w:w="113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编号</w:t>
            </w:r>
          </w:p>
        </w:tc>
        <w:tc>
          <w:tcPr>
            <w:tcW w:type="dxa" w:w="396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内容</w:t>
            </w:r>
          </w:p>
        </w:tc>
        <w:tc>
          <w:tcPr>
            <w:tcW w:type="dxa" w:w="181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位置</w:t>
            </w:r>
          </w:p>
        </w:tc>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关键检查</w:t>
            </w:r>
          </w:p>
        </w:tc>
      </w:tr>
      <w:tr>
        <w:trPr>
          <w:cantSplit/>
        </w:trPr>
        <w:tc>
          <w:tcPr>
            <w:tcW w:type="dxa" w:w="113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Table 1</w:t>
            </w:r>
          </w:p>
        </w:tc>
        <w:tc>
          <w:tcPr>
            <w:tcW w:type="dxa" w:w="396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Data fields, units, source, temporal resolution, role, missingness</w:t>
            </w:r>
          </w:p>
        </w:tc>
        <w:tc>
          <w:tcPr>
            <w:tcW w:type="dxa" w:w="181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Study Area and Data</w:t>
            </w:r>
          </w:p>
        </w:tc>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字段与单位最终核验</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2</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Data attrition from theoretical grid to eligible samples</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Results 5.1</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必须与Fig.2(f)完全一致</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3</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Six rolling-origin training, purge and validation boundaries</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Methodology</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精确到时区和时间戳</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4</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Models, inputs, hyperparameters, tuning budget and seeds</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Methodology</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公平比较与可复现</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5</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Primary performance by model and horizon, aggregated across folds</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Results 5.2</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MAE主指标；同时样本量/CI</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6</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Fold-wise metrics, worst-fold performance and rank stability</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Results 5.3</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不只给均值</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7</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Performance by reliability and traffic strata</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Results 5.4</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每组样本量和阈值</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8</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Sensitivity analyses and model-ranking agreement</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Results 5.5</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主规则与替代规则</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S1</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Node inventory and coverage statistics</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SI</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51节点完整列表</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S2</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Full leakage assertion checklist</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SI</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断言、范围、结果、证据文件</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S3</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Pairwise statistical comparisons with Holm adjustment</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SI/主文压缩版</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实际差值+CI+adjusted p</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S4</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Software, package versions, hardware and runtime</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SI</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环境锁定</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Table S5</w:t>
            </w:r>
          </w:p>
        </w:tc>
        <w:tc>
          <w:tcPr>
            <w:tcW w:type="dxa" w:w="396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Historical exposed-week comparison</w:t>
            </w:r>
          </w:p>
        </w:tc>
        <w:tc>
          <w:tcPr>
            <w:tcW w:type="dxa" w:w="181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SI</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明确证据等级</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7.1 建议补充材料结构</w:t>
      </w:r>
    </w:p>
    <w:p>
      <w:pPr>
        <w:pStyle w:val="ListBullet"/>
        <w:spacing w:after="80"/>
        <w:widowControl w:val="1"/>
      </w:pPr>
      <w:r>
        <w:rPr>
          <w:rFonts w:ascii="SimHei" w:hAnsi="SimHei" w:eastAsia="SimHei" w:cs="SimHei"/>
          <w:color w:val="000000"/>
          <w:sz w:val="21"/>
        </w:rPr>
        <w:t>Supplementary Methods：全部资格规则、伪代码、fold生成逻辑和断言定义。</w:t>
      </w:r>
    </w:p>
    <w:p>
      <w:pPr>
        <w:pStyle w:val="ListBullet"/>
        <w:spacing w:after="80"/>
        <w:widowControl w:val="1"/>
      </w:pPr>
      <w:r>
        <w:rPr>
          <w:rFonts w:ascii="SimHei" w:hAnsi="SimHei" w:eastAsia="SimHei" w:cs="SimHei"/>
          <w:color w:val="000000"/>
          <w:sz w:val="21"/>
        </w:rPr>
        <w:t>Supplementary Figures：全部节点热图、完整预测时序、额外敏感性、残差诊断。</w:t>
      </w:r>
    </w:p>
    <w:p>
      <w:pPr>
        <w:pStyle w:val="ListBullet"/>
        <w:spacing w:after="80"/>
        <w:widowControl w:val="1"/>
      </w:pPr>
      <w:r>
        <w:rPr>
          <w:rFonts w:ascii="SimHei" w:hAnsi="SimHei" w:eastAsia="SimHei" w:cs="SimHei"/>
          <w:color w:val="000000"/>
          <w:sz w:val="21"/>
        </w:rPr>
        <w:t>Supplementary Tables：节点inventory、模型超参数、全部fold×horizon结果、统计检验和文件哈希。</w:t>
      </w:r>
    </w:p>
    <w:p>
      <w:pPr>
        <w:pStyle w:val="ListBullet"/>
        <w:spacing w:after="80"/>
        <w:widowControl w:val="1"/>
      </w:pPr>
      <w:r>
        <w:rPr>
          <w:rFonts w:ascii="SimHei" w:hAnsi="SimHei" w:eastAsia="SimHei" w:cs="SimHei"/>
          <w:color w:val="000000"/>
          <w:sz w:val="21"/>
        </w:rPr>
        <w:t>Reproducibility Package：配置文件、环境、manifest、脚本入口、README、输出schema和checksum。</w:t>
      </w:r>
    </w:p>
    <w:p>
      <w:pPr>
        <w:pStyle w:val="ListBullet"/>
        <w:spacing w:after="80"/>
        <w:widowControl w:val="1"/>
      </w:pPr>
      <w:r>
        <w:rPr>
          <w:rFonts w:ascii="SimHei" w:hAnsi="SimHei" w:eastAsia="SimHei" w:cs="SimHei"/>
          <w:color w:val="000000"/>
          <w:sz w:val="21"/>
        </w:rPr>
        <w:t>不公开商业原始FCD时，提供脱敏/聚合样例和可运行的synthetic example。</w:t>
      </w:r>
    </w:p>
    <w:p>
      <w:pPr>
        <w:pStyle w:val="Heading1"/>
        <w:keepNext/>
        <w:widowControl w:val="1"/>
        <w:spacing w:before="280" w:after="140"/>
      </w:pPr>
      <w:r>
        <w:rPr>
          <w:rFonts w:ascii="SimHei" w:hAnsi="SimHei" w:eastAsia="SimHei" w:cs="SimHei"/>
          <w:color w:val="000000"/>
          <w:sz w:val="30"/>
        </w:rPr>
        <w:t>8. 最终实验数据回填清单</w:t>
      </w:r>
    </w:p>
    <w:p>
      <w:pPr>
        <w:widowControl w:val="1"/>
        <w:spacing w:after="80" w:line="276" w:lineRule="auto"/>
      </w:pPr>
      <w:r>
        <w:rPr>
          <w:rFonts w:ascii="SimHei" w:hAnsi="SimHei" w:eastAsia="SimHei" w:cs="SimHei"/>
          <w:color w:val="000000"/>
          <w:sz w:val="21"/>
        </w:rPr>
        <w:t>实验结束后，不应直接把零散截图或汇总表粘进论文。应先形成稳定结果包，再按以下顺序回填。</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包</w:t>
            </w:r>
          </w:p>
        </w:tc>
        <w:tc>
          <w:tcPr>
            <w:tcW w:type="dxa" w:w="5443"/>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必须提供</w:t>
            </w:r>
          </w:p>
        </w:tc>
        <w:tc>
          <w:tcPr>
            <w:tcW w:type="dxa" w:w="215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建议文件</w:t>
            </w:r>
          </w:p>
        </w:tc>
      </w:tr>
      <w:tr>
        <w:trPr>
          <w:cantSplit/>
        </w:trPr>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A. 稳定快照</w:t>
            </w:r>
          </w:p>
        </w:tc>
        <w:tc>
          <w:tcPr>
            <w:tcW w:type="dxa" w:w="5443"/>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原始/中间/最终数据目录清单；运行结束时间；无写入进程；文件数量与SHA-256。</w:t>
            </w:r>
          </w:p>
        </w:tc>
        <w:tc>
          <w:tcPr>
            <w:tcW w:type="dxa" w:w="215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snapshot_manifest.csv / hashes.txt</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B. 数据合同</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时区、日期、节点、唯一键、confidence、speed范围、provider_status策略、聚合和标签规则。</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data_contract.yaml</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 数据审计</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理论网格、原始行数、重复、缺失、quality-ineligible、小时有效数、最终sample数。</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data_audit_summary.csv</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 Fold定义</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每折train/purge/validation起止；各horizon样本数；目标不越界证明。</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fold_manifest.csv</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E. Common manifest</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全部sample_id及history/target时间、node、quality字段。</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sample_manifest.parquet</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 模型配置</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模型版本、特征、超参数、seed、训练预算、早停、硬件。</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model_registry.yaml</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 预测文件</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每个model×fold×horizon的y_true、y_pred、sample_id；不得混入旧结果。</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predictions/*.parquet</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H. 指标结果</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总体、折、节点、日、质量分层的MAE/RMSE/sMAPE/R²/Bias和N。</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metrics_long.csv</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I. 统计结果</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paired differences、block bootstrap CI、Wilcoxon/Friedman、Holm校正、effect size。</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statistics/*.csv</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J. 效率</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训练时间、推理时间、参数量/模型大小、峰值显存或CPU/RAM。</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efficiency.csv</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K. 审计证据</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20+全样本断言、PASS/FAIL、失败行样例、日志。</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leakage_audit.json</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L. 图形数据</w:t>
            </w:r>
          </w:p>
        </w:tc>
        <w:tc>
          <w:tcPr>
            <w:tcW w:type="dxa" w:w="5443"/>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每个panel对应的独立CSV/Parquet和绘图脚本。</w:t>
            </w:r>
          </w:p>
        </w:tc>
        <w:tc>
          <w:tcPr>
            <w:tcW w:type="dxa" w:w="215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figure_data/FigX_panelY.csv</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8.1 结果回填时必须回答的判定问题</w:t>
      </w:r>
    </w:p>
    <w:p>
      <w:pPr>
        <w:spacing w:after="80" w:line="276" w:lineRule="auto"/>
        <w:ind w:left="369" w:hanging="369"/>
        <w:widowControl w:val="1"/>
      </w:pPr>
      <w:r>
        <w:rPr>
          <w:rFonts w:ascii="SimHei" w:hAnsi="SimHei" w:eastAsia="SimHei" w:cs="SimHei"/>
          <w:b/>
          <w:color w:val="000000"/>
          <w:sz w:val="21"/>
        </w:rPr>
        <w:t xml:space="preserve">1. </w:t>
      </w:r>
      <w:r>
        <w:rPr>
          <w:rFonts w:ascii="SimHei" w:hAnsi="SimHei" w:eastAsia="SimHei" w:cs="SimHei"/>
          <w:color w:val="000000"/>
          <w:sz w:val="21"/>
        </w:rPr>
        <w:t>正式benchmark是否使用了完全相同的sample_id集合？若不同，差异是否仅来自模型无法处理的输入，且是否另做common-sample分析？</w:t>
      </w:r>
    </w:p>
    <w:p>
      <w:pPr>
        <w:spacing w:after="80" w:line="276" w:lineRule="auto"/>
        <w:ind w:left="369" w:hanging="369"/>
        <w:widowControl w:val="1"/>
      </w:pPr>
      <w:r>
        <w:rPr>
          <w:rFonts w:ascii="SimHei" w:hAnsi="SimHei" w:eastAsia="SimHei" w:cs="SimHei"/>
          <w:b/>
          <w:color w:val="000000"/>
          <w:sz w:val="21"/>
        </w:rPr>
        <w:t xml:space="preserve">2. </w:t>
      </w:r>
      <w:r>
        <w:rPr>
          <w:rFonts w:ascii="SimHei" w:hAnsi="SimHei" w:eastAsia="SimHei" w:cs="SimHei"/>
          <w:color w:val="000000"/>
          <w:sz w:val="21"/>
        </w:rPr>
        <w:t>六个fold的训练、purge和验证边界是否满足最长H6目标不跨界？</w:t>
      </w:r>
    </w:p>
    <w:p>
      <w:pPr>
        <w:spacing w:after="80" w:line="276" w:lineRule="auto"/>
        <w:ind w:left="369" w:hanging="369"/>
        <w:widowControl w:val="1"/>
      </w:pPr>
      <w:r>
        <w:rPr>
          <w:rFonts w:ascii="SimHei" w:hAnsi="SimHei" w:eastAsia="SimHei" w:cs="SimHei"/>
          <w:b/>
          <w:color w:val="000000"/>
          <w:sz w:val="21"/>
        </w:rPr>
        <w:t xml:space="preserve">3. </w:t>
      </w:r>
      <w:r>
        <w:rPr>
          <w:rFonts w:ascii="SimHei" w:hAnsi="SimHei" w:eastAsia="SimHei" w:cs="SimHei"/>
          <w:color w:val="000000"/>
          <w:sz w:val="21"/>
        </w:rPr>
        <w:t>所有scaler、imputer、HA统计量和类别编码是否只使用各折训练期？</w:t>
      </w:r>
    </w:p>
    <w:p>
      <w:pPr>
        <w:spacing w:after="80" w:line="276" w:lineRule="auto"/>
        <w:ind w:left="369" w:hanging="369"/>
        <w:widowControl w:val="1"/>
      </w:pPr>
      <w:r>
        <w:rPr>
          <w:rFonts w:ascii="SimHei" w:hAnsi="SimHei" w:eastAsia="SimHei" w:cs="SimHei"/>
          <w:b/>
          <w:color w:val="000000"/>
          <w:sz w:val="21"/>
        </w:rPr>
        <w:t xml:space="preserve">4. </w:t>
      </w:r>
      <w:r>
        <w:rPr>
          <w:rFonts w:ascii="SimHei" w:hAnsi="SimHei" w:eastAsia="SimHei" w:cs="SimHei"/>
          <w:color w:val="000000"/>
          <w:sz w:val="21"/>
        </w:rPr>
        <w:t>主规则是在查看正式结果前冻结，还是后验选择？后验部分是否明确标为exploratory？</w:t>
      </w:r>
    </w:p>
    <w:p>
      <w:pPr>
        <w:spacing w:after="80" w:line="276" w:lineRule="auto"/>
        <w:ind w:left="369" w:hanging="369"/>
        <w:widowControl w:val="1"/>
      </w:pPr>
      <w:r>
        <w:rPr>
          <w:rFonts w:ascii="SimHei" w:hAnsi="SimHei" w:eastAsia="SimHei" w:cs="SimHei"/>
          <w:b/>
          <w:color w:val="000000"/>
          <w:sz w:val="21"/>
        </w:rPr>
        <w:t xml:space="preserve">5. </w:t>
      </w:r>
      <w:r>
        <w:rPr>
          <w:rFonts w:ascii="SimHei" w:hAnsi="SimHei" w:eastAsia="SimHei" w:cs="SimHei"/>
          <w:color w:val="000000"/>
          <w:sz w:val="21"/>
        </w:rPr>
        <w:t>模型优势是否跨折一致，还是由单一折驱动？</w:t>
      </w:r>
    </w:p>
    <w:p>
      <w:pPr>
        <w:spacing w:after="80" w:line="276" w:lineRule="auto"/>
        <w:ind w:left="369" w:hanging="369"/>
        <w:widowControl w:val="1"/>
      </w:pPr>
      <w:r>
        <w:rPr>
          <w:rFonts w:ascii="SimHei" w:hAnsi="SimHei" w:eastAsia="SimHei" w:cs="SimHei"/>
          <w:b/>
          <w:color w:val="000000"/>
          <w:sz w:val="21"/>
        </w:rPr>
        <w:t xml:space="preserve">6. </w:t>
      </w:r>
      <w:r>
        <w:rPr>
          <w:rFonts w:ascii="SimHei" w:hAnsi="SimHei" w:eastAsia="SimHei" w:cs="SimHei"/>
          <w:color w:val="000000"/>
          <w:sz w:val="21"/>
        </w:rPr>
        <w:t>统计显著是否同时具有工程意义？实际MAE差值是多少？</w:t>
      </w:r>
    </w:p>
    <w:p>
      <w:pPr>
        <w:spacing w:after="80" w:line="276" w:lineRule="auto"/>
        <w:ind w:left="369" w:hanging="369"/>
        <w:widowControl w:val="1"/>
      </w:pPr>
      <w:r>
        <w:rPr>
          <w:rFonts w:ascii="SimHei" w:hAnsi="SimHei" w:eastAsia="SimHei" w:cs="SimHei"/>
          <w:b/>
          <w:color w:val="000000"/>
          <w:sz w:val="21"/>
        </w:rPr>
        <w:t xml:space="preserve">7. </w:t>
      </w:r>
      <w:r>
        <w:rPr>
          <w:rFonts w:ascii="SimHei" w:hAnsi="SimHei" w:eastAsia="SimHei" w:cs="SimHei"/>
          <w:color w:val="000000"/>
          <w:sz w:val="21"/>
        </w:rPr>
        <w:t>最差节点、最差日期和低coverage条件下是否仍满足使用要求？</w:t>
      </w:r>
    </w:p>
    <w:p>
      <w:pPr>
        <w:spacing w:after="80" w:line="276" w:lineRule="auto"/>
        <w:ind w:left="369" w:hanging="369"/>
        <w:widowControl w:val="1"/>
      </w:pPr>
      <w:r>
        <w:rPr>
          <w:rFonts w:ascii="SimHei" w:hAnsi="SimHei" w:eastAsia="SimHei" w:cs="SimHei"/>
          <w:b/>
          <w:color w:val="000000"/>
          <w:sz w:val="21"/>
        </w:rPr>
        <w:t xml:space="preserve">8. </w:t>
      </w:r>
      <w:r>
        <w:rPr>
          <w:rFonts w:ascii="SimHei" w:hAnsi="SimHei" w:eastAsia="SimHei" w:cs="SimHei"/>
          <w:color w:val="000000"/>
          <w:sz w:val="21"/>
        </w:rPr>
        <w:t>已暴露最终周与六折结论是否冲突？若冲突，应以六折为主并解释证据等级。</w:t>
      </w:r>
    </w:p>
    <w:p>
      <w:pPr>
        <w:pStyle w:val="Heading2"/>
        <w:keepNext/>
        <w:widowControl w:val="1"/>
        <w:spacing w:before="200" w:after="100"/>
      </w:pPr>
      <w:r>
        <w:rPr>
          <w:rFonts w:ascii="SimHei" w:hAnsi="SimHei" w:eastAsia="SimHei" w:cs="SimHei"/>
          <w:color w:val="000000"/>
          <w:sz w:val="26"/>
        </w:rPr>
        <w:t>8.2 Results回填矩阵</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36"/>
        <w:gridCol w:w="2436"/>
        <w:gridCol w:w="2436"/>
        <w:gridCol w:w="2436"/>
      </w:tblGrid>
      <w:tr>
        <w:trPr>
          <w:tblHeader w:val="true"/>
          <w:cantSplit/>
        </w:trPr>
        <w:tc>
          <w:tcPr>
            <w:tcW w:type="dxa" w:w="850"/>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研究问题</w:t>
            </w:r>
          </w:p>
        </w:tc>
        <w:tc>
          <w:tcPr>
            <w:tcW w:type="dxa" w:w="351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必要结果</w:t>
            </w:r>
          </w:p>
        </w:tc>
        <w:tc>
          <w:tcPr>
            <w:tcW w:type="dxa" w:w="255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图表</w:t>
            </w:r>
          </w:p>
        </w:tc>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最终结论形式</w:t>
            </w:r>
          </w:p>
        </w:tc>
      </w:tr>
      <w:tr>
        <w:trPr>
          <w:cantSplit/>
        </w:trPr>
        <w:tc>
          <w:tcPr>
            <w:tcW w:type="dxa" w:w="850"/>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RQ1</w:t>
            </w:r>
          </w:p>
        </w:tc>
        <w:tc>
          <w:tcPr>
            <w:tcW w:type="dxa" w:w="351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理论/有效记录、样本保留率、规则敏感性</w:t>
            </w:r>
          </w:p>
        </w:tc>
        <w:tc>
          <w:tcPr>
            <w:tcW w:type="dxa" w:w="255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Fig.2、Fig.7；Tables 1–2、8</w:t>
            </w:r>
          </w:p>
        </w:tc>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是否能形成足够且可追溯样本</w:t>
            </w:r>
          </w:p>
        </w:tc>
      </w:tr>
      <w:tr>
        <w:trPr>
          <w:cantSplit/>
        </w:trPr>
        <w:tc>
          <w:tcPr>
            <w:tcW w:type="dxa" w:w="85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RQ2</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模型×horizon×fold指标、最差折、排名</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Fig.4–5；Tables 5–6</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谁更准、谁更稳定、差异是否实质</w:t>
            </w:r>
          </w:p>
        </w:tc>
      </w:tr>
      <w:tr>
        <w:trPr>
          <w:cantSplit/>
        </w:trPr>
        <w:tc>
          <w:tcPr>
            <w:tcW w:type="dxa" w:w="85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RQ3</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coverage/confidence/gap/volatility/node分层</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Fig.6；Table 7</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何时可靠、何时失效</w:t>
            </w:r>
          </w:p>
        </w:tc>
      </w:tr>
      <w:tr>
        <w:trPr>
          <w:cantSplit/>
        </w:trPr>
        <w:tc>
          <w:tcPr>
            <w:tcW w:type="dxa" w:w="850"/>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RQ4</w:t>
            </w:r>
          </w:p>
        </w:tc>
        <w:tc>
          <w:tcPr>
            <w:tcW w:type="dxa" w:w="351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六折与历史暴露周的排名/误差差异</w:t>
            </w:r>
          </w:p>
        </w:tc>
        <w:tc>
          <w:tcPr>
            <w:tcW w:type="dxa" w:w="255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Fig.8；Table S5</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协议是否改变模型判断</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9. 当前可写内容与必须等待内容</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阶段</w:t>
            </w:r>
          </w:p>
        </w:tc>
        <w:tc>
          <w:tcPr>
            <w:tcW w:type="dxa" w:w="4876"/>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内容</w:t>
            </w:r>
          </w:p>
        </w:tc>
        <w:tc>
          <w:tcPr>
            <w:tcW w:type="dxa" w:w="260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执行规则</w:t>
            </w:r>
          </w:p>
        </w:tc>
      </w:tr>
      <w:tr>
        <w:trPr>
          <w:cantSplit/>
        </w:trPr>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现在可完成</w:t>
            </w:r>
          </w:p>
        </w:tc>
        <w:tc>
          <w:tcPr>
            <w:tcW w:type="dxa" w:w="4876"/>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Title候选、Introduction前5段、Related Work框架、研究区背景、数据来源描述、方法协议、公式、图表caption草案、声明模板。</w:t>
            </w:r>
          </w:p>
        </w:tc>
        <w:tc>
          <w:tcPr>
            <w:tcW w:type="dxa" w:w="260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使用【待最终核验】标记数量和参数。</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现在可完成约80%</w:t>
            </w:r>
          </w:p>
        </w:tc>
        <w:tc>
          <w:tcPr>
            <w:tcW w:type="dxa" w:w="487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Study Area and Data、Methodology、Fig.1/3、Table 1/3/4框架。</w:t>
            </w:r>
          </w:p>
        </w:tc>
        <w:tc>
          <w:tcPr>
            <w:tcW w:type="dxa" w:w="260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最终manifest后统一替换日期、数量、阈值和模型配置。</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必须等待</w:t>
            </w:r>
          </w:p>
        </w:tc>
        <w:tc>
          <w:tcPr>
            <w:tcW w:type="dxa" w:w="487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Abstract结果句、Results全部数值、Discussion的模型机制、Conclusion的最优模型/时距、Fig.2和Fig.4–8、Tables 2/5–8。</w:t>
            </w:r>
          </w:p>
        </w:tc>
        <w:tc>
          <w:tcPr>
            <w:tcW w:type="dxa" w:w="260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不得用旧P系列或暴露周结果提前定结论。</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可并行准备</w:t>
            </w:r>
          </w:p>
        </w:tc>
        <w:tc>
          <w:tcPr>
            <w:tcW w:type="dxa" w:w="487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近3–5年文献池、AJSE相近期刊文章结构、图形代码模板、数据可用性和代码仓库README。</w:t>
            </w:r>
          </w:p>
        </w:tc>
        <w:tc>
          <w:tcPr>
            <w:tcW w:type="dxa" w:w="260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引用最终改为AJSE数字格式。</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9.1 推荐写作顺序</w:t>
      </w:r>
    </w:p>
    <w:p>
      <w:pPr>
        <w:spacing w:after="80" w:line="276" w:lineRule="auto"/>
        <w:ind w:left="369" w:hanging="369"/>
        <w:widowControl w:val="1"/>
      </w:pPr>
      <w:r>
        <w:rPr>
          <w:rFonts w:ascii="SimHei" w:hAnsi="SimHei" w:eastAsia="SimHei" w:cs="SimHei"/>
          <w:b/>
          <w:color w:val="000000"/>
          <w:sz w:val="21"/>
        </w:rPr>
        <w:t xml:space="preserve">1. </w:t>
      </w:r>
      <w:r>
        <w:rPr>
          <w:rFonts w:ascii="SimHei" w:hAnsi="SimHei" w:eastAsia="SimHei" w:cs="SimHei"/>
          <w:color w:val="000000"/>
          <w:sz w:val="21"/>
        </w:rPr>
        <w:t>先冻结文章定位、四个RQ和与CRG-TCN文章的边界。</w:t>
      </w:r>
    </w:p>
    <w:p>
      <w:pPr>
        <w:spacing w:after="80" w:line="276" w:lineRule="auto"/>
        <w:ind w:left="369" w:hanging="369"/>
        <w:widowControl w:val="1"/>
      </w:pPr>
      <w:r>
        <w:rPr>
          <w:rFonts w:ascii="SimHei" w:hAnsi="SimHei" w:eastAsia="SimHei" w:cs="SimHei"/>
          <w:b/>
          <w:color w:val="000000"/>
          <w:sz w:val="21"/>
        </w:rPr>
        <w:t xml:space="preserve">2. </w:t>
      </w:r>
      <w:r>
        <w:rPr>
          <w:rFonts w:ascii="SimHei" w:hAnsi="SimHei" w:eastAsia="SimHei" w:cs="SimHei"/>
          <w:color w:val="000000"/>
          <w:sz w:val="21"/>
        </w:rPr>
        <w:t>完成Introduction和Related Work的论证骨架，但暂不写任何未经核验的结果导向句。</w:t>
      </w:r>
    </w:p>
    <w:p>
      <w:pPr>
        <w:spacing w:after="80" w:line="276" w:lineRule="auto"/>
        <w:ind w:left="369" w:hanging="369"/>
        <w:widowControl w:val="1"/>
      </w:pPr>
      <w:r>
        <w:rPr>
          <w:rFonts w:ascii="SimHei" w:hAnsi="SimHei" w:eastAsia="SimHei" w:cs="SimHei"/>
          <w:b/>
          <w:color w:val="000000"/>
          <w:sz w:val="21"/>
        </w:rPr>
        <w:t xml:space="preserve">3. </w:t>
      </w:r>
      <w:r>
        <w:rPr>
          <w:rFonts w:ascii="SimHei" w:hAnsi="SimHei" w:eastAsia="SimHei" w:cs="SimHei"/>
          <w:color w:val="000000"/>
          <w:sz w:val="21"/>
        </w:rPr>
        <w:t>完成Study Area and Data，所有数量使用统一占位符或最终manifest。</w:t>
      </w:r>
    </w:p>
    <w:p>
      <w:pPr>
        <w:spacing w:after="80" w:line="276" w:lineRule="auto"/>
        <w:ind w:left="369" w:hanging="369"/>
        <w:widowControl w:val="1"/>
      </w:pPr>
      <w:r>
        <w:rPr>
          <w:rFonts w:ascii="SimHei" w:hAnsi="SimHei" w:eastAsia="SimHei" w:cs="SimHei"/>
          <w:b/>
          <w:color w:val="000000"/>
          <w:sz w:val="21"/>
        </w:rPr>
        <w:t xml:space="preserve">4. </w:t>
      </w:r>
      <w:r>
        <w:rPr>
          <w:rFonts w:ascii="SimHei" w:hAnsi="SimHei" w:eastAsia="SimHei" w:cs="SimHei"/>
          <w:color w:val="000000"/>
          <w:sz w:val="21"/>
        </w:rPr>
        <w:t>完成Methodology和Fig.3，确保代码/配置与文字一一对应。</w:t>
      </w:r>
    </w:p>
    <w:p>
      <w:pPr>
        <w:spacing w:after="80" w:line="276" w:lineRule="auto"/>
        <w:ind w:left="369" w:hanging="369"/>
        <w:widowControl w:val="1"/>
      </w:pPr>
      <w:r>
        <w:rPr>
          <w:rFonts w:ascii="SimHei" w:hAnsi="SimHei" w:eastAsia="SimHei" w:cs="SimHei"/>
          <w:b/>
          <w:color w:val="000000"/>
          <w:sz w:val="21"/>
        </w:rPr>
        <w:t xml:space="preserve">5. </w:t>
      </w:r>
      <w:r>
        <w:rPr>
          <w:rFonts w:ascii="SimHei" w:hAnsi="SimHei" w:eastAsia="SimHei" w:cs="SimHei"/>
          <w:color w:val="000000"/>
          <w:sz w:val="21"/>
        </w:rPr>
        <w:t>实验稳定后，先生成Table 2/3/4和Fig.2/3，证明数据与协议正确。</w:t>
      </w:r>
    </w:p>
    <w:p>
      <w:pPr>
        <w:spacing w:after="80" w:line="276" w:lineRule="auto"/>
        <w:ind w:left="369" w:hanging="369"/>
        <w:widowControl w:val="1"/>
      </w:pPr>
      <w:r>
        <w:rPr>
          <w:rFonts w:ascii="SimHei" w:hAnsi="SimHei" w:eastAsia="SimHei" w:cs="SimHei"/>
          <w:b/>
          <w:color w:val="000000"/>
          <w:sz w:val="21"/>
        </w:rPr>
        <w:t xml:space="preserve">6. </w:t>
      </w:r>
      <w:r>
        <w:rPr>
          <w:rFonts w:ascii="SimHei" w:hAnsi="SimHei" w:eastAsia="SimHei" w:cs="SimHei"/>
          <w:color w:val="000000"/>
          <w:sz w:val="21"/>
        </w:rPr>
        <w:t>再生成主benchmark和统计表，之后写Results。</w:t>
      </w:r>
    </w:p>
    <w:p>
      <w:pPr>
        <w:spacing w:after="80" w:line="276" w:lineRule="auto"/>
        <w:ind w:left="369" w:hanging="369"/>
        <w:widowControl w:val="1"/>
      </w:pPr>
      <w:r>
        <w:rPr>
          <w:rFonts w:ascii="SimHei" w:hAnsi="SimHei" w:eastAsia="SimHei" w:cs="SimHei"/>
          <w:b/>
          <w:color w:val="000000"/>
          <w:sz w:val="21"/>
        </w:rPr>
        <w:t xml:space="preserve">7. </w:t>
      </w:r>
      <w:r>
        <w:rPr>
          <w:rFonts w:ascii="SimHei" w:hAnsi="SimHei" w:eastAsia="SimHei" w:cs="SimHei"/>
          <w:color w:val="000000"/>
          <w:sz w:val="21"/>
        </w:rPr>
        <w:t>Results锁定后再写Discussion、Conclusion、Abstract和最终Title。</w:t>
      </w:r>
    </w:p>
    <w:p>
      <w:pPr>
        <w:spacing w:after="80" w:line="276" w:lineRule="auto"/>
        <w:ind w:left="369" w:hanging="369"/>
        <w:widowControl w:val="1"/>
      </w:pPr>
      <w:r>
        <w:rPr>
          <w:rFonts w:ascii="SimHei" w:hAnsi="SimHei" w:eastAsia="SimHei" w:cs="SimHei"/>
          <w:b/>
          <w:color w:val="000000"/>
          <w:sz w:val="21"/>
        </w:rPr>
        <w:t xml:space="preserve">8. </w:t>
      </w:r>
      <w:r>
        <w:rPr>
          <w:rFonts w:ascii="SimHei" w:hAnsi="SimHei" w:eastAsia="SimHei" w:cs="SimHei"/>
          <w:color w:val="000000"/>
          <w:sz w:val="21"/>
        </w:rPr>
        <w:t>最后做AJSE格式、引用、图件、声明和投稿文件检查。</w:t>
      </w:r>
    </w:p>
    <w:p>
      <w:pPr>
        <w:pStyle w:val="Heading1"/>
        <w:keepNext/>
        <w:widowControl w:val="1"/>
        <w:spacing w:before="280" w:after="140"/>
      </w:pPr>
      <w:r>
        <w:rPr>
          <w:rFonts w:ascii="SimHei" w:hAnsi="SimHei" w:eastAsia="SimHei" w:cs="SimHei"/>
          <w:color w:val="000000"/>
          <w:sz w:val="30"/>
        </w:rPr>
        <w:t>10. 实验结束后的整体校验流程</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757"/>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门控</w:t>
            </w:r>
          </w:p>
        </w:tc>
        <w:tc>
          <w:tcPr>
            <w:tcW w:type="dxa" w:w="5216"/>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通过标准</w:t>
            </w:r>
          </w:p>
        </w:tc>
        <w:tc>
          <w:tcPr>
            <w:tcW w:type="dxa" w:w="221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失败处理</w:t>
            </w:r>
          </w:p>
        </w:tc>
      </w:tr>
      <w:tr>
        <w:trPr>
          <w:cantSplit/>
        </w:trPr>
        <w:tc>
          <w:tcPr>
            <w:tcW w:type="dxa" w:w="1757"/>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Gate 1 稳定性</w:t>
            </w:r>
          </w:p>
        </w:tc>
        <w:tc>
          <w:tcPr>
            <w:tcW w:type="dxa" w:w="5216"/>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结果目录无运行进程写入；快照时间和哈希固定。</w:t>
            </w:r>
          </w:p>
        </w:tc>
        <w:tc>
          <w:tcPr>
            <w:tcW w:type="dxa" w:w="221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未通过：不写Results。</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2 数据完整性</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理论网格、唯一键、节点和时间范围一致；所有筛选可追溯。</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未通过：回到数据管线。</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3 协议冻结</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主规则、fold、模型集、统计单位和seed在正式结果前已确定。</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未通过：后验分析降级为exploratory。</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4 防泄漏</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全样本断言PASS；train-only transformations有证据。</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未通过：结果不可用于论文。</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5 公平比较</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共同sample manifest和预测文件可配对。</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未通过：只能做有限或分开比较。</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6 数值复算</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从prediction文件独立重算表格和图，误差在容差内一致。</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未通过：修复统计/汇总脚本。</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7 文本一致性</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Abstract、Results、Discussion、Conclusion中的所有数字与表图一致。</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未通过：统一数据源自动回填。</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8 证据措辞</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旧最终周、因果表达、普适性和外部验证措辞符合证据等级。</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未通过：重写结论。</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9 文章去重</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与CRG-TCN文章的研究问题、模型结果、图表和贡献不实质重复。</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未通过：删减/迁移内容。</w:t>
            </w:r>
          </w:p>
        </w:tc>
      </w:tr>
      <w:tr>
        <w:trPr>
          <w:cantSplit/>
        </w:trPr>
        <w:tc>
          <w:tcPr>
            <w:tcW w:type="dxa" w:w="1757"/>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Gate 10 AJSE合规</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摘要、关键词、数字引用、三级标题、图分辨率、声明、审稿人候选。</w:t>
            </w:r>
          </w:p>
        </w:tc>
        <w:tc>
          <w:tcPr>
            <w:tcW w:type="dxa" w:w="221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未通过：投稿前整改。</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10.1 全文三向一致性审计</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方向</w:t>
            </w:r>
          </w:p>
        </w:tc>
        <w:tc>
          <w:tcPr>
            <w:tcW w:type="dxa" w:w="5216"/>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检查问题</w:t>
            </w:r>
          </w:p>
        </w:tc>
        <w:tc>
          <w:tcPr>
            <w:tcW w:type="dxa" w:w="2268"/>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建议工具/产物</w:t>
            </w:r>
          </w:p>
        </w:tc>
      </w:tr>
      <w:tr>
        <w:trPr>
          <w:cantSplit/>
        </w:trPr>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证据→表图</w:t>
            </w:r>
          </w:p>
        </w:tc>
        <w:tc>
          <w:tcPr>
            <w:tcW w:type="dxa" w:w="5216"/>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每项主张是否有对应表格/图panel/统计文件？</w:t>
            </w:r>
          </w:p>
        </w:tc>
        <w:tc>
          <w:tcPr>
            <w:tcW w:type="dxa" w:w="2268"/>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建立claim_evidence_matrix.xlsx</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表图→正文</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每张表和每个panel是否在正文被解释，且没有未使用结果？</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逐图逐表检查</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正文→方法</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每个结果是否在Methods预先定义；是否出现后验指标或分组？</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后验内容标为exploratory</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数字一致性</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同一数值在Abstract、Results、Discussion、Conclusion是否一致？</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从单一CSV生成</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样本一致性</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N是否随模型、时距、fold和分层变化；变化是否解释？</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表注强制报告N</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术语一致性</w:t>
            </w:r>
          </w:p>
        </w:tc>
        <w:tc>
          <w:tcPr>
            <w:tcW w:type="dxa" w:w="5216"/>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node/segment、origin、target window、coverage、confidence、missingness定义是否统一？</w:t>
            </w:r>
          </w:p>
        </w:tc>
        <w:tc>
          <w:tcPr>
            <w:tcW w:type="dxa" w:w="2268"/>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术语表</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11. 审稿风险清单与预防性写法</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701"/>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风险</w:t>
            </w:r>
          </w:p>
        </w:tc>
        <w:tc>
          <w:tcPr>
            <w:tcW w:type="dxa" w:w="2835"/>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可能质疑</w:t>
            </w:r>
          </w:p>
        </w:tc>
        <w:tc>
          <w:tcPr>
            <w:tcW w:type="dxa" w:w="464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预防措施</w:t>
            </w:r>
          </w:p>
        </w:tc>
      </w:tr>
      <w:tr>
        <w:trPr>
          <w:cantSplit/>
        </w:trPr>
        <w:tc>
          <w:tcPr>
            <w:tcW w:type="dxa" w:w="1701"/>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创新性不足</w:t>
            </w:r>
          </w:p>
        </w:tc>
        <w:tc>
          <w:tcPr>
            <w:tcW w:type="dxa" w:w="2835"/>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审稿人认为只是常规模型比较。</w:t>
            </w:r>
          </w:p>
        </w:tc>
        <w:tc>
          <w:tcPr>
            <w:tcW w:type="dxa" w:w="464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把贡献落在数据合同、共同manifest、全样本审计、六折稳定性和失效边界；不要只写XGBoost优于基线。</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数据期太短</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约三个月难以覆盖季节性。</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定位为short-history/data-scarce证据；不做年度泛化；讨论跨季节未来研究。</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没有真正外部测试</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最后一周已暴露。</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主动披露；主要证据用rolling-origin；建议未来前瞻性锁定测试。</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商业FCD不是地面真值</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provider speed存在采样和聚合偏差。</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使用provider-reported speed；避免“ground truth”；说明缺少固定传感器验证。</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阈值后验选择</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confidence/速度/聚合规则可能被结果驱动。</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在正式benchmark前冻结；敏感性明确区分。</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模型输入不公平</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不同模型可能使用不同历史/特征。</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统一赛道或明确分层比较；共同manifest；相同训练信息边界。</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相邻样本不独立</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逐节点小时t检验夸大显著性。</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node-day汇总、块bootstrap、非参数配对和Holm。</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结果过多</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多图多表导致主线分散。</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主文只保留RQ驱动的6–8图、6–8表；完整细节进SI。</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与另一篇文章重叠</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同一数据和模型被认为salami slicing。</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清晰区分研究问题、预测任务、结果集和贡献；交叉引用已发表/在投工作并避免重复文本。</w:t>
            </w:r>
          </w:p>
        </w:tc>
      </w:tr>
      <w:tr>
        <w:trPr>
          <w:cantSplit/>
        </w:trPr>
        <w:tc>
          <w:tcPr>
            <w:tcW w:type="dxa" w:w="1701"/>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可复现性不足</w:t>
            </w:r>
          </w:p>
        </w:tc>
        <w:tc>
          <w:tcPr>
            <w:tcW w:type="dxa" w:w="2835"/>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商业数据不可公开。</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公开代码、配置、manifest schema、哈希、聚合结果和synthetic example。</w:t>
            </w:r>
          </w:p>
        </w:tc>
      </w:tr>
    </w:tbl>
    <w:p>
      <w:pPr>
        <w:widowControl w:val="1"/>
        <w:spacing w:after="80" w:line="276" w:lineRule="auto"/>
      </w:pPr>
    </w:p>
    <w:p>
      <w:pPr>
        <w:pStyle w:val="Heading2"/>
        <w:keepNext/>
        <w:widowControl w:val="1"/>
        <w:spacing w:before="200" w:after="100"/>
      </w:pPr>
      <w:r>
        <w:rPr>
          <w:rFonts w:ascii="SimHei" w:hAnsi="SimHei" w:eastAsia="SimHei" w:cs="SimHei"/>
          <w:color w:val="000000"/>
          <w:sz w:val="26"/>
        </w:rPr>
        <w:t>11.1 建议使用的谨慎术语</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49"/>
        <w:gridCol w:w="3249"/>
        <w:gridCol w:w="3249"/>
      </w:tblGrid>
      <w:tr>
        <w:trPr>
          <w:tblHeader w:val="true"/>
          <w:cantSplit/>
        </w:trPr>
        <w:tc>
          <w:tcPr>
            <w:tcW w:type="dxa" w:w="1134"/>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建议表述</w:t>
            </w:r>
          </w:p>
        </w:tc>
        <w:tc>
          <w:tcPr>
            <w:tcW w:type="dxa" w:w="4649"/>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英文</w:t>
            </w:r>
          </w:p>
        </w:tc>
        <w:tc>
          <w:tcPr>
            <w:tcW w:type="dxa" w:w="3402"/>
            <w:vAlign w:val="center"/>
            <w:tcMar>
              <w:top w:w="80" w:type="dxa"/>
              <w:start w:w="90" w:type="dxa"/>
              <w:bottom w:w="80" w:type="dxa"/>
              <w:end w:w="90" w:type="dxa"/>
            </w:tcMar>
            <w:shd w:val="clear" w:fill="FFFFFF"/>
          </w:tcPr>
          <w:p>
            <w:pPr>
              <w:keepNext/>
              <w:spacing w:before="0" w:after="40" w:line="259" w:lineRule="auto"/>
              <w:jc w:val="center"/>
            </w:pPr>
            <w:r>
              <w:rPr>
                <w:rFonts w:ascii="SimHei" w:hAnsi="SimHei" w:eastAsia="SimHei" w:cs="SimHei"/>
                <w:b/>
                <w:color w:val="000000"/>
                <w:sz w:val="19"/>
              </w:rPr>
              <w:t>避免表述</w:t>
            </w:r>
          </w:p>
        </w:tc>
      </w:tr>
      <w:tr>
        <w:trPr>
          <w:cantSplit/>
        </w:trPr>
        <w:tc>
          <w:tcPr>
            <w:tcW w:type="dxa" w:w="1134"/>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retrospective rolling-origin evaluation</w:t>
            </w:r>
          </w:p>
        </w:tc>
        <w:tc>
          <w:tcPr>
            <w:tcW w:type="dxa" w:w="4649"/>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用于主要评价</w:t>
            </w:r>
          </w:p>
        </w:tc>
        <w:tc>
          <w:tcPr>
            <w:tcW w:type="dxa" w:w="3402"/>
            <w:vAlign w:val="center"/>
            <w:tcMar>
              <w:top w:w="80" w:type="dxa"/>
              <w:start w:w="90" w:type="dxa"/>
              <w:bottom w:w="80" w:type="dxa"/>
              <w:end w:w="90" w:type="dxa"/>
            </w:tcMar>
            <w:shd w:val="clear" w:fill="FFFFFF"/>
          </w:tcPr>
          <w:p>
            <w:pPr>
              <w:keepLines/>
              <w:spacing w:after="40" w:before="0" w:line="259" w:lineRule="auto"/>
            </w:pPr>
            <w:r>
              <w:rPr>
                <w:rFonts w:ascii="SimHei" w:hAnsi="SimHei" w:eastAsia="SimHei" w:cs="SimHei"/>
                <w:b w:val="0"/>
                <w:color w:val="000000"/>
                <w:sz w:val="19"/>
              </w:rPr>
              <w:t>blind final test</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previously exposed historical evaluation period</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用于旧最终周</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unseen/external test week</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commercial FCD observations / provider-reported speed</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用于数据描述</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ground-truth traffic speed</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was associated with / corresponded to</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用于关联解释</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caused / determined</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within the studied corridor and period</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用于泛化边界</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generally applicable to highways</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competitive / more stable under the evaluated protocol</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用于模型比较</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state-of-the-art / universally superior</w:t>
            </w:r>
          </w:p>
        </w:tc>
      </w:tr>
      <w:tr>
        <w:trPr>
          <w:cantSplit/>
        </w:trPr>
        <w:tc>
          <w:tcPr>
            <w:tcW w:type="dxa" w:w="1134"/>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data eligibility rule used in this study</w:t>
            </w:r>
          </w:p>
        </w:tc>
        <w:tc>
          <w:tcPr>
            <w:tcW w:type="dxa" w:w="4649"/>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用于阈值说明</w:t>
            </w:r>
          </w:p>
        </w:tc>
        <w:tc>
          <w:tcPr>
            <w:tcW w:type="dxa" w:w="3402"/>
            <w:vAlign w:val="center"/>
            <w:tcMar>
              <w:top w:w="80" w:type="dxa"/>
              <w:start w:w="90" w:type="dxa"/>
              <w:bottom w:w="80" w:type="dxa"/>
              <w:end w:w="90" w:type="dxa"/>
            </w:tcMar>
            <w:shd w:val="clear" w:fill="FFFFFF"/>
          </w:tcPr>
          <w:p>
            <w:pPr>
              <w:spacing w:after="40" w:before="0" w:line="259" w:lineRule="auto"/>
            </w:pPr>
            <w:r>
              <w:rPr>
                <w:rFonts w:ascii="SimHei" w:hAnsi="SimHei" w:eastAsia="SimHei" w:cs="SimHei"/>
                <w:b w:val="0"/>
                <w:color w:val="000000"/>
                <w:sz w:val="19"/>
              </w:rPr>
              <w:t>optimal universal threshold</w:t>
            </w:r>
          </w:p>
        </w:tc>
      </w:tr>
    </w:tbl>
    <w:p>
      <w:pPr>
        <w:widowControl w:val="1"/>
        <w:spacing w:after="80" w:line="276" w:lineRule="auto"/>
      </w:pPr>
    </w:p>
    <w:p>
      <w:pPr>
        <w:pStyle w:val="Heading1"/>
        <w:keepNext/>
        <w:widowControl w:val="1"/>
        <w:spacing w:before="280" w:after="140"/>
      </w:pPr>
      <w:r>
        <w:rPr>
          <w:rFonts w:ascii="SimHei" w:hAnsi="SimHei" w:eastAsia="SimHei" w:cs="SimHei"/>
          <w:color w:val="000000"/>
          <w:sz w:val="30"/>
        </w:rPr>
        <w:t>附录A. 可直接回填的英文句式骨架</w:t>
      </w:r>
    </w:p>
    <w:p>
      <w:pPr>
        <w:pStyle w:val="Heading2"/>
        <w:keepNext/>
        <w:widowControl w:val="1"/>
        <w:spacing w:before="200" w:after="100"/>
      </w:pPr>
      <w:r>
        <w:rPr>
          <w:rFonts w:ascii="SimHei" w:hAnsi="SimHei" w:eastAsia="SimHei" w:cs="SimHei"/>
          <w:color w:val="000000"/>
          <w:sz w:val="26"/>
        </w:rPr>
        <w:t>A.1 Introduction末段</w:t>
      </w:r>
    </w:p>
    <w:p>
      <w:pPr>
        <w:widowControl w:val="1"/>
        <w:spacing w:after="80" w:line="276" w:lineRule="auto"/>
      </w:pPr>
      <w:r>
        <w:rPr>
          <w:rFonts w:ascii="SimHei" w:hAnsi="SimHei" w:eastAsia="SimHei" w:cs="SimHei"/>
          <w:color w:val="000000"/>
          <w:sz w:val="21"/>
        </w:rPr>
        <w:t>This study evaluates whether sparse commercial floating-car data can support multi-horizon speed forecasting on a data-scarce highway corridor under a fully auditable retrospective protocol. Specifically, the study (1) reconstructs the complete theoretical observation grid and applies a pre-specified data-eligibility contract, (2) evaluates forecasting models on a common sample manifest using six rolling-origin folds, (3) quantifies performance variation across horizons, folds, nodes, and data-reliability conditions, and (4) compares the rolling-origin evidence with a previously exposed historical evaluation period. The intended contribution is therefore methodological and engineering-oriented rather than the introduction of a new deep-learning architecture.</w:t>
      </w:r>
    </w:p>
    <w:p>
      <w:pPr>
        <w:pStyle w:val="Heading2"/>
        <w:keepNext/>
        <w:widowControl w:val="1"/>
        <w:spacing w:before="200" w:after="100"/>
      </w:pPr>
      <w:r>
        <w:rPr>
          <w:rFonts w:ascii="SimHei" w:hAnsi="SimHei" w:eastAsia="SimHei" w:cs="SimHei"/>
          <w:color w:val="000000"/>
          <w:sz w:val="26"/>
        </w:rPr>
        <w:t>A.2 Methods中的证据状态声明</w:t>
      </w:r>
    </w:p>
    <w:p>
      <w:pPr>
        <w:widowControl w:val="1"/>
        <w:spacing w:after="80" w:line="276" w:lineRule="auto"/>
      </w:pPr>
      <w:r>
        <w:rPr>
          <w:rFonts w:ascii="SimHei" w:hAnsi="SimHei" w:eastAsia="SimHei" w:cs="SimHei"/>
          <w:color w:val="000000"/>
          <w:sz w:val="21"/>
        </w:rPr>
        <w:t>The period from 22 to 28 February 2026 had been examined in earlier development experiments and was therefore not treated as an untouched or independent test set. The primary evidence in this study was obtained from six retrospective rolling-origin folds. Results for the previously exposed period were retained only as a supplementary historical comparison.</w:t>
      </w:r>
    </w:p>
    <w:p>
      <w:pPr>
        <w:pStyle w:val="Heading2"/>
        <w:keepNext/>
        <w:widowControl w:val="1"/>
        <w:spacing w:before="200" w:after="100"/>
      </w:pPr>
      <w:r>
        <w:rPr>
          <w:rFonts w:ascii="SimHei" w:hAnsi="SimHei" w:eastAsia="SimHei" w:cs="SimHei"/>
          <w:color w:val="000000"/>
          <w:sz w:val="26"/>
        </w:rPr>
        <w:t>A.3 Provider status缺失</w:t>
      </w:r>
    </w:p>
    <w:p>
      <w:pPr>
        <w:widowControl w:val="1"/>
        <w:spacing w:after="80" w:line="276" w:lineRule="auto"/>
      </w:pPr>
      <w:r>
        <w:rPr>
          <w:rFonts w:ascii="SimHei" w:hAnsi="SimHei" w:eastAsia="SimHei" w:cs="SimHei"/>
          <w:color w:val="000000"/>
          <w:sz w:val="21"/>
        </w:rPr>
        <w:t>Provider operational status was not available in the source dataset and was therefore not used as an eligibility criterion. No missing status value was imputed or recoded as a normal operating state.</w:t>
      </w:r>
    </w:p>
    <w:p>
      <w:pPr>
        <w:pStyle w:val="Heading2"/>
        <w:keepNext/>
        <w:widowControl w:val="1"/>
        <w:spacing w:before="200" w:after="100"/>
      </w:pPr>
      <w:r>
        <w:rPr>
          <w:rFonts w:ascii="SimHei" w:hAnsi="SimHei" w:eastAsia="SimHei" w:cs="SimHei"/>
          <w:color w:val="000000"/>
          <w:sz w:val="26"/>
        </w:rPr>
        <w:t>A.4 Results段落模板</w:t>
      </w:r>
    </w:p>
    <w:p>
      <w:pPr>
        <w:widowControl w:val="1"/>
        <w:spacing w:after="80" w:line="276" w:lineRule="auto"/>
      </w:pPr>
      <w:r>
        <w:rPr>
          <w:rFonts w:ascii="SimHei" w:hAnsi="SimHei" w:eastAsia="SimHei" w:cs="SimHei"/>
          <w:color w:val="000000"/>
          <w:sz w:val="21"/>
        </w:rPr>
        <w:t>Across the six rolling-origin folds, [MODEL] achieved the lowest mean MAE at the [H]-h horizon ([VALUE] km h−1; 95% CI [LOWER, UPPER]), but the magnitude and consistency of the advantage varied across folds. The worst-fold MAE was [VALUE], and [MODEL] ranked first in [X] of the six folds. These results indicate [CAUTIOUS INTERPRETATION], rather than a uniform advantage across all evaluation periods.</w:t>
      </w:r>
    </w:p>
    <w:p>
      <w:pPr>
        <w:pStyle w:val="Heading2"/>
        <w:keepNext/>
        <w:widowControl w:val="1"/>
        <w:spacing w:before="200" w:after="100"/>
      </w:pPr>
      <w:r>
        <w:rPr>
          <w:rFonts w:ascii="SimHei" w:hAnsi="SimHei" w:eastAsia="SimHei" w:cs="SimHei"/>
          <w:color w:val="000000"/>
          <w:sz w:val="26"/>
        </w:rPr>
        <w:t>A.5 质量分层模板</w:t>
      </w:r>
    </w:p>
    <w:p>
      <w:pPr>
        <w:widowControl w:val="1"/>
        <w:spacing w:after="80" w:line="276" w:lineRule="auto"/>
      </w:pPr>
      <w:r>
        <w:rPr>
          <w:rFonts w:ascii="SimHei" w:hAnsi="SimHei" w:eastAsia="SimHei" w:cs="SimHei"/>
          <w:color w:val="000000"/>
          <w:sz w:val="21"/>
        </w:rPr>
        <w:t>Forecast errors were higher in samples with [LOW COVERAGE/LONGER GAPS] than in the corresponding reference stratum. The paired difference in MAE was [VALUE] km h−1 (95% CI [LOWER, UPPER]). This pattern was observed across [NUMBER] folds and may reflect reduced information continuity, although the observational design does not establish a causal effect.</w:t>
      </w:r>
    </w:p>
    <w:p>
      <w:pPr>
        <w:pStyle w:val="Heading2"/>
        <w:keepNext/>
        <w:widowControl w:val="1"/>
        <w:spacing w:before="200" w:after="100"/>
      </w:pPr>
      <w:r>
        <w:rPr>
          <w:rFonts w:ascii="SimHei" w:hAnsi="SimHei" w:eastAsia="SimHei" w:cs="SimHei"/>
          <w:color w:val="000000"/>
          <w:sz w:val="26"/>
        </w:rPr>
        <w:t>A.6 Limitations模板</w:t>
      </w:r>
    </w:p>
    <w:p>
      <w:pPr>
        <w:widowControl w:val="1"/>
        <w:spacing w:after="80" w:line="276" w:lineRule="auto"/>
      </w:pPr>
      <w:r>
        <w:rPr>
          <w:rFonts w:ascii="SimHei" w:hAnsi="SimHei" w:eastAsia="SimHei" w:cs="SimHei"/>
          <w:color w:val="000000"/>
          <w:sz w:val="21"/>
        </w:rPr>
        <w:t>Several limitations constrain the interpretation of the results. First, the study covers one corridor and approximately three months of observations, so seasonal and cross-network generalization cannot be inferred. Second, the commercial FCD represents provider-reported aggregated speed observations rather than vehicle-level trajectories or an independent fixed-sensor reference. Third, one historical week had been exposed during previous model development and was used only as a supplementary comparison. Future work should use a prospectively locked test period, a longer observation window, and independent traffic sensors where available.</w:t>
      </w:r>
    </w:p>
    <w:p>
      <w:pPr>
        <w:pStyle w:val="Heading1"/>
        <w:keepNext/>
        <w:widowControl w:val="1"/>
        <w:spacing w:before="280" w:after="140"/>
      </w:pPr>
      <w:r>
        <w:rPr>
          <w:rFonts w:ascii="SimHei" w:hAnsi="SimHei" w:eastAsia="SimHei" w:cs="SimHei"/>
          <w:color w:val="000000"/>
          <w:sz w:val="30"/>
        </w:rPr>
        <w:t>附录B. 最终交付文件和结果包目录建议</w:t>
      </w:r>
    </w:p>
    <w:p>
      <w:pPr>
        <w:widowControl w:val="1"/>
        <w:spacing w:after="80" w:line="276" w:lineRule="auto"/>
      </w:pPr>
      <w:r>
        <w:rPr>
          <w:rFonts w:ascii="SimHei" w:hAnsi="SimHei" w:eastAsia="SimHei" w:cs="SimHei"/>
          <w:color w:val="000000"/>
          <w:sz w:val="21"/>
        </w:rPr>
        <w:t>AJSE_Phase2A_release/</w:t>
        <w:br/>
        <w:t>├── 00_README/</w:t>
        <w:br/>
        <w:t>│   ├── README.md</w:t>
        <w:br/>
        <w:t>│   └── evidence_status.md</w:t>
        <w:br/>
        <w:t>├── 01_config/</w:t>
        <w:br/>
        <w:t>│   ├── data_contract.yaml</w:t>
        <w:br/>
        <w:t>│   ├── folds.yaml</w:t>
        <w:br/>
        <w:t>│   └── model_registry.yaml</w:t>
        <w:br/>
        <w:t>├── 02_manifests/</w:t>
        <w:br/>
        <w:t>│   ├── raw_snapshot_manifest.csv</w:t>
        <w:br/>
        <w:t>│   ├── node_manifest.csv</w:t>
        <w:br/>
        <w:t>│   ├── fold_manifest.csv</w:t>
        <w:br/>
        <w:t>│   └── sample_manifest.parquet</w:t>
        <w:br/>
        <w:t>├── 03_audits/</w:t>
        <w:br/>
        <w:t>│   ├── data_audit_summary.csv</w:t>
        <w:br/>
        <w:t>│   ├── leakage_audit.json</w:t>
        <w:br/>
        <w:t>│   └── hashes_sha256.txt</w:t>
        <w:br/>
        <w:t>├── 04_predictions/</w:t>
        <w:br/>
        <w:t>│   └── model_fold_horizon_predictions.parquet</w:t>
        <w:br/>
        <w:t>├── 05_metrics/</w:t>
        <w:br/>
        <w:t>│   ├── metrics_long.csv</w:t>
        <w:br/>
        <w:t>│   ├── stratified_metrics.csv</w:t>
        <w:br/>
        <w:t>│   └── efficiency.csv</w:t>
        <w:br/>
        <w:t>├── 06_statistics/</w:t>
        <w:br/>
        <w:t>│   ├── paired_differences.csv</w:t>
        <w:br/>
        <w:t>│   ├── block_bootstrap.csv</w:t>
        <w:br/>
        <w:t>│   └── multiple_comparisons.csv</w:t>
        <w:br/>
        <w:t>├── 07_figures/</w:t>
        <w:br/>
        <w:t>│   ├── source_data/</w:t>
        <w:br/>
        <w:t>│   ├── scripts/</w:t>
        <w:br/>
        <w:t>│   └── final/</w:t>
        <w:br/>
        <w:t>├── 08_tables/</w:t>
        <w:br/>
        <w:t>│   ├── manuscript_tables.xlsx</w:t>
        <w:br/>
        <w:t>│   └── supplementary_tables.xlsx</w:t>
        <w:br/>
        <w:t>├── 09_manuscript/</w:t>
        <w:br/>
        <w:t>│   ├── AJSE_manuscript.docx_or_tex</w:t>
        <w:br/>
        <w:t>│   ├── figure_captions.docx</w:t>
        <w:br/>
        <w:t>│   └── declarations.docx</w:t>
        <w:br/>
        <w:t>└── 10_logs/</w:t>
        <w:br/>
        <w:t xml:space="preserve">    ├── environment.txt</w:t>
        <w:br/>
        <w:t xml:space="preserve">    └── run_logs/</w:t>
      </w:r>
    </w:p>
    <w:p>
      <w:pPr>
        <w:pStyle w:val="Heading1"/>
        <w:keepNext/>
        <w:widowControl w:val="1"/>
        <w:spacing w:before="280" w:after="140"/>
      </w:pPr>
      <w:r>
        <w:rPr>
          <w:rFonts w:ascii="SimHei" w:hAnsi="SimHei" w:eastAsia="SimHei" w:cs="SimHei"/>
          <w:color w:val="000000"/>
          <w:sz w:val="30"/>
        </w:rPr>
        <w:t>附录C. 最终投稿前一页核对表</w:t>
      </w:r>
    </w:p>
    <w:p>
      <w:pPr>
        <w:spacing w:after="80" w:line="276" w:lineRule="auto"/>
        <w:widowControl w:val="1"/>
      </w:pPr>
      <w:r>
        <w:rPr>
          <w:rFonts w:ascii="SimHei" w:hAnsi="SimHei" w:eastAsia="SimHei" w:cs="SimHei"/>
          <w:color w:val="000000"/>
          <w:sz w:val="21"/>
        </w:rPr>
        <w:t>□ Phase 2A正式结果来自稳定快照，不再有后台写入。</w:t>
      </w:r>
    </w:p>
    <w:p>
      <w:pPr>
        <w:spacing w:after="80" w:line="276" w:lineRule="auto"/>
        <w:widowControl w:val="1"/>
      </w:pPr>
      <w:r>
        <w:rPr>
          <w:rFonts w:ascii="SimHei" w:hAnsi="SimHei" w:eastAsia="SimHei" w:cs="SimHei"/>
          <w:color w:val="000000"/>
          <w:sz w:val="21"/>
        </w:rPr>
        <w:t>□ 主规则、fold、模型、统计单位和随机种子有冻结记录。</w:t>
      </w:r>
    </w:p>
    <w:p>
      <w:pPr>
        <w:spacing w:after="80" w:line="276" w:lineRule="auto"/>
        <w:widowControl w:val="1"/>
      </w:pPr>
      <w:r>
        <w:rPr>
          <w:rFonts w:ascii="SimHei" w:hAnsi="SimHei" w:eastAsia="SimHei" w:cs="SimHei"/>
          <w:color w:val="000000"/>
          <w:sz w:val="21"/>
        </w:rPr>
        <w:t>□ 旧最终周仅称historical / previously exposed。</w:t>
      </w:r>
    </w:p>
    <w:p>
      <w:pPr>
        <w:spacing w:after="80" w:line="276" w:lineRule="auto"/>
        <w:widowControl w:val="1"/>
      </w:pPr>
      <w:r>
        <w:rPr>
          <w:rFonts w:ascii="SimHei" w:hAnsi="SimHei" w:eastAsia="SimHei" w:cs="SimHei"/>
          <w:color w:val="000000"/>
          <w:sz w:val="21"/>
        </w:rPr>
        <w:t>□ Abstract为150–250词，Keywords为4–6个。</w:t>
      </w:r>
    </w:p>
    <w:p>
      <w:pPr>
        <w:spacing w:after="80" w:line="276" w:lineRule="auto"/>
        <w:widowControl w:val="1"/>
      </w:pPr>
      <w:r>
        <w:rPr>
          <w:rFonts w:ascii="SimHei" w:hAnsi="SimHei" w:eastAsia="SimHei" w:cs="SimHei"/>
          <w:color w:val="000000"/>
          <w:sz w:val="21"/>
        </w:rPr>
        <w:t>□ 正文为方括号数字引用，参考文献按出现顺序。</w:t>
      </w:r>
    </w:p>
    <w:p>
      <w:pPr>
        <w:spacing w:after="80" w:line="276" w:lineRule="auto"/>
        <w:widowControl w:val="1"/>
      </w:pPr>
      <w:r>
        <w:rPr>
          <w:rFonts w:ascii="SimHei" w:hAnsi="SimHei" w:eastAsia="SimHei" w:cs="SimHei"/>
          <w:color w:val="000000"/>
          <w:sz w:val="21"/>
        </w:rPr>
        <w:t>□ 标题层级不超过三级。</w:t>
      </w:r>
    </w:p>
    <w:p>
      <w:pPr>
        <w:spacing w:after="80" w:line="276" w:lineRule="auto"/>
        <w:widowControl w:val="1"/>
      </w:pPr>
      <w:r>
        <w:rPr>
          <w:rFonts w:ascii="SimHei" w:hAnsi="SimHei" w:eastAsia="SimHei" w:cs="SimHei"/>
          <w:color w:val="000000"/>
          <w:sz w:val="21"/>
        </w:rPr>
        <w:t>□ 所有图按84/174 mm检查，panel label和8–12 pt字体可读。</w:t>
      </w:r>
    </w:p>
    <w:p>
      <w:pPr>
        <w:spacing w:after="80" w:line="276" w:lineRule="auto"/>
        <w:widowControl w:val="1"/>
      </w:pPr>
      <w:r>
        <w:rPr>
          <w:rFonts w:ascii="SimHei" w:hAnsi="SimHei" w:eastAsia="SimHei" w:cs="SimHei"/>
          <w:color w:val="000000"/>
          <w:sz w:val="21"/>
        </w:rPr>
        <w:t>□ 组合图≥600 dpi或矢量；半色调≥300 dpi。</w:t>
      </w:r>
    </w:p>
    <w:p>
      <w:pPr>
        <w:spacing w:after="80" w:line="276" w:lineRule="auto"/>
        <w:widowControl w:val="1"/>
      </w:pPr>
      <w:r>
        <w:rPr>
          <w:rFonts w:ascii="SimHei" w:hAnsi="SimHei" w:eastAsia="SimHei" w:cs="SimHei"/>
          <w:color w:val="000000"/>
          <w:sz w:val="21"/>
        </w:rPr>
        <w:t>□ 每张表/图均在正文按顺序引用，caption准确。</w:t>
      </w:r>
    </w:p>
    <w:p>
      <w:pPr>
        <w:spacing w:after="80" w:line="276" w:lineRule="auto"/>
        <w:widowControl w:val="1"/>
      </w:pPr>
      <w:r>
        <w:rPr>
          <w:rFonts w:ascii="SimHei" w:hAnsi="SimHei" w:eastAsia="SimHei" w:cs="SimHei"/>
          <w:color w:val="000000"/>
          <w:sz w:val="21"/>
        </w:rPr>
        <w:t>□ 每个性能表都报告N，主比较使用共同sample。</w:t>
      </w:r>
    </w:p>
    <w:p>
      <w:pPr>
        <w:spacing w:after="80" w:line="276" w:lineRule="auto"/>
        <w:widowControl w:val="1"/>
      </w:pPr>
      <w:r>
        <w:rPr>
          <w:rFonts w:ascii="SimHei" w:hAnsi="SimHei" w:eastAsia="SimHei" w:cs="SimHei"/>
          <w:color w:val="000000"/>
          <w:sz w:val="21"/>
        </w:rPr>
        <w:t>□ 报告折间差异、最差折和置信区间，不只报告平均值。</w:t>
      </w:r>
    </w:p>
    <w:p>
      <w:pPr>
        <w:spacing w:after="80" w:line="276" w:lineRule="auto"/>
        <w:widowControl w:val="1"/>
      </w:pPr>
      <w:r>
        <w:rPr>
          <w:rFonts w:ascii="SimHei" w:hAnsi="SimHei" w:eastAsia="SimHei" w:cs="SimHei"/>
          <w:color w:val="000000"/>
          <w:sz w:val="21"/>
        </w:rPr>
        <w:t>□ 统计检验考虑时空依赖并完成多重比较校正。</w:t>
      </w:r>
    </w:p>
    <w:p>
      <w:pPr>
        <w:spacing w:after="80" w:line="276" w:lineRule="auto"/>
        <w:widowControl w:val="1"/>
      </w:pPr>
      <w:r>
        <w:rPr>
          <w:rFonts w:ascii="SimHei" w:hAnsi="SimHei" w:eastAsia="SimHei" w:cs="SimHei"/>
          <w:color w:val="000000"/>
          <w:sz w:val="21"/>
        </w:rPr>
        <w:t>□ 结论不把相关性写成因果，不宣称普遍泛化。</w:t>
      </w:r>
    </w:p>
    <w:p>
      <w:pPr>
        <w:spacing w:after="80" w:line="276" w:lineRule="auto"/>
        <w:widowControl w:val="1"/>
      </w:pPr>
      <w:r>
        <w:rPr>
          <w:rFonts w:ascii="SimHei" w:hAnsi="SimHei" w:eastAsia="SimHei" w:cs="SimHei"/>
          <w:color w:val="000000"/>
          <w:sz w:val="21"/>
        </w:rPr>
        <w:t>□ Data/Code Availability与商业数据许可一致。</w:t>
      </w:r>
    </w:p>
    <w:p>
      <w:pPr>
        <w:spacing w:after="80" w:line="276" w:lineRule="auto"/>
        <w:widowControl w:val="1"/>
      </w:pPr>
      <w:r>
        <w:rPr>
          <w:rFonts w:ascii="SimHei" w:hAnsi="SimHei" w:eastAsia="SimHei" w:cs="SimHei"/>
          <w:color w:val="000000"/>
          <w:sz w:val="21"/>
        </w:rPr>
        <w:t>□ 与CRG-TCN文章无实质重复。</w:t>
      </w:r>
    </w:p>
    <w:p>
      <w:pPr>
        <w:spacing w:after="80" w:line="276" w:lineRule="auto"/>
        <w:widowControl w:val="1"/>
      </w:pPr>
      <w:r>
        <w:rPr>
          <w:rFonts w:ascii="SimHei" w:hAnsi="SimHei" w:eastAsia="SimHei" w:cs="SimHei"/>
          <w:color w:val="000000"/>
          <w:sz w:val="21"/>
        </w:rPr>
        <w:t>□ 四名潜在国际审稿人满足机构、国家和利益冲突要求。</w:t>
      </w:r>
    </w:p>
    <w:p>
      <w:pPr>
        <w:widowControl w:val="1"/>
        <w:spacing w:after="80" w:line="276" w:lineRule="auto"/>
      </w:pP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746"/>
      </w:tblGrid>
      <w:tr>
        <w:trPr>
          <w:cantSplit w:val="true"/>
        </w:trPr>
        <w:tc>
          <w:tcPr>
            <w:tcW w:type="dxa" w:w="9746"/>
            <w:tcMar>
              <w:top w:w="80" w:type="dxa"/>
              <w:start w:w="90" w:type="dxa"/>
              <w:bottom w:w="80" w:type="dxa"/>
              <w:end w:w="90" w:type="dxa"/>
            </w:tcMar>
            <w:vAlign w:val="center"/>
            <w:shd w:val="clear" w:fill="FFFFFF"/>
          </w:tcPr>
          <w:p>
            <w:pPr>
              <w:pStyle w:val="Callout"/>
              <w:spacing w:before="0" w:after="40" w:line="259" w:lineRule="auto"/>
            </w:pPr>
            <w:r>
              <w:rPr>
                <w:rFonts w:ascii="SimHei" w:hAnsi="SimHei" w:eastAsia="SimHei" w:cs="SimHei"/>
                <w:b w:val="0"/>
                <w:color w:val="000000"/>
                <w:sz w:val="19"/>
              </w:rPr>
              <w:t>最终定调：这篇AJSE论文的价值不在于展示一个更复杂的网络，而在于证明稀疏商业FCD在什么数据资格、时间评价和可靠性条件下能够形成可信的多时距预测证据。</w:t>
            </w:r>
          </w:p>
        </w:tc>
      </w:tr>
    </w:tbl>
    <w:p>
      <w:pPr>
        <w:widowControl w:val="1"/>
        <w:spacing w:after="80" w:line="276" w:lineRule="auto"/>
      </w:pPr>
    </w:p>
    <w:p>
      <w:pPr>
        <w:spacing w:after="80" w:line="276" w:lineRule="auto"/>
      </w:pPr>
      <w:r>
        <w:rPr>
          <w:rFonts w:ascii="SimHei" w:hAnsi="SimHei" w:eastAsia="SimHei" w:cs="SimHei"/>
          <w:b w:val="0"/>
          <w:color w:val="000000"/>
          <w:sz w:val="21"/>
        </w:rPr>
        <w:t>□ 关键词为4–6个，并覆盖数据、任务、评价、可靠性和场景；每个关键词均能在正文找到对应方法或结果。</w:t>
      </w:r>
    </w:p>
    <w:p>
      <w:pPr>
        <w:spacing w:after="80" w:line="276" w:lineRule="auto"/>
      </w:pPr>
      <w:r>
        <w:rPr>
          <w:rFonts w:ascii="SimHei" w:hAnsi="SimHei" w:eastAsia="SimHei" w:cs="SimHei"/>
          <w:b w:val="0"/>
          <w:color w:val="000000"/>
          <w:sz w:val="21"/>
        </w:rPr>
        <w:t>□ 每个正式实验均明确目的、输入、规则、输出、通过标准和论文落点。</w:t>
      </w:r>
    </w:p>
    <w:p>
      <w:pPr>
        <w:spacing w:after="80" w:line="276" w:lineRule="auto"/>
      </w:pPr>
      <w:r>
        <w:rPr>
          <w:rFonts w:ascii="SimHei" w:hAnsi="SimHei" w:eastAsia="SimHei" w:cs="SimHei"/>
          <w:b w:val="0"/>
          <w:color w:val="000000"/>
          <w:sz w:val="21"/>
        </w:rPr>
        <w:t>□ 主证据、稳健性证据、冒烟结果和历史补充结果没有混为同一证据等级。</w:t>
      </w:r>
    </w:p>
    <w:p>
      <w:pPr>
        <w:spacing w:after="80" w:line="276" w:lineRule="auto"/>
      </w:pPr>
      <w:r>
        <w:rPr>
          <w:rFonts w:ascii="SimHei" w:hAnsi="SimHei" w:eastAsia="SimHei" w:cs="SimHei"/>
          <w:b w:val="0"/>
          <w:color w:val="000000"/>
          <w:sz w:val="21"/>
        </w:rPr>
        <w:t>□ 所有实验编号与脚本、配置、输出目录建立一一对照。</w:t>
      </w:r>
    </w:p>
    <w:p>
      <w:pPr>
        <w:spacing w:after="80" w:line="276" w:lineRule="auto"/>
      </w:pPr>
      <w:r>
        <w:rPr>
          <w:rFonts w:ascii="SimHei" w:hAnsi="SimHei" w:eastAsia="SimHei" w:cs="SimHei"/>
          <w:b w:val="0"/>
          <w:color w:val="000000"/>
          <w:sz w:val="21"/>
        </w:rPr>
        <w:t>□ Results中的每个结论均可追溯到sample manifest、预测文件、指标表和统计文件。</w:t>
      </w:r>
    </w:p>
    <w:p>
      <w:pPr>
        <w:pStyle w:val="Heading1"/>
        <w:keepNext/>
        <w:widowControl w:val="1"/>
        <w:spacing w:before="280" w:after="140"/>
      </w:pPr>
      <w:r>
        <w:rPr>
          <w:rFonts w:ascii="SimHei" w:hAnsi="SimHei" w:eastAsia="SimHei" w:cs="SimHei"/>
          <w:color w:val="000000"/>
          <w:sz w:val="30"/>
        </w:rPr>
        <w:t>资料核验说明</w:t>
      </w:r>
    </w:p>
    <w:p>
      <w:pPr>
        <w:widowControl w:val="1"/>
        <w:spacing w:after="80" w:line="276" w:lineRule="auto"/>
      </w:pPr>
      <w:r>
        <w:rPr>
          <w:rFonts w:ascii="SimHei" w:hAnsi="SimHei" w:eastAsia="SimHei" w:cs="SimHei"/>
          <w:color w:val="000000"/>
          <w:sz w:val="21"/>
        </w:rPr>
        <w:t>本大纲综合了上传的《AJSE Phase 2A 文章详细说明》与《SCI 1区论文深度写作与润色 AI 提示词系统》。对期刊格式的修正依据2026年7月29日核验的Springer Nature AJSE官方Aims and Scope、Submission Guidelines和How to Publish with Us页面。其中，摘要150–250词、4–6关键词、方括号数字引用、三级以内标题、图件分辨率与84/174 mm版面宽度等要求均按官方指南处理。</w:t>
      </w:r>
    </w:p>
    <w:sectPr w:rsidR="00FC693F" w:rsidRPr="0006063C" w:rsidSect="00034616">
      <w:headerReference w:type="default" r:id="rId9"/>
      <w:footerReference w:type="default" r:id="rId10"/>
      <w:pgSz w:w="12240" w:h="15840"/>
      <w:pgMar w:top="936" w:right="979" w:bottom="936" w:left="97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AJSE Phase 2A 写作大纲｜版本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SimHei" w:hAnsi="SimHei" w:eastAsia="SimHei" w:cs="Sim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eastAsia="SimHei" w:cs="SimHei"/>
      <w:color w:val="000000"/>
    </w:rPr>
  </w:style>
  <w:style w:type="character" w:customStyle="1" w:styleId="HeaderChar">
    <w:name w:val="Header Char"/>
    <w:basedOn w:val="DefaultParagraphFont"/>
    <w:link w:val="Header"/>
    <w:uiPriority w:val="99"/>
    <w:rsid w:val="00E618BF"/>
    <w:rPr>
      <w:rFonts w:ascii="SimHei" w:hAnsi="SimHei" w:eastAsia="SimHei" w:cs="SimHe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imHei" w:hAnsi="SimHei" w:eastAsia="SimHei" w:cs="SimHei"/>
      <w:color w:val="000000"/>
    </w:rPr>
  </w:style>
  <w:style w:type="character" w:customStyle="1" w:styleId="FooterChar">
    <w:name w:val="Footer Char"/>
    <w:basedOn w:val="DefaultParagraphFont"/>
    <w:link w:val="Footer"/>
    <w:uiPriority w:val="99"/>
    <w:rsid w:val="00E618BF"/>
    <w:rPr>
      <w:rFonts w:ascii="SimHei" w:hAnsi="SimHei" w:eastAsia="SimHei" w:cs="SimHe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SimHei" w:hAnsi="SimHei" w:eastAsia="SimHei" w:cs="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imHei" w:hAnsi="SimHei" w:eastAsia="SimHei" w:cs="Sim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imHei" w:hAnsi="SimHei" w:eastAsia="SimHei" w:cs="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imHei" w:hAnsi="SimHei" w:eastAsia="SimHei" w:cs="SimHe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imHei" w:hAnsi="SimHei" w:eastAsia="SimHei" w:cs="SimHe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imHei" w:hAnsi="SimHei" w:eastAsia="SimHei" w:cs="SimHe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imHei" w:hAnsi="SimHei" w:eastAsia="SimHei" w:cs="SimHe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imHei" w:hAnsi="SimHei" w:eastAsia="SimHei" w:cs="SimHe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imHei" w:hAnsi="SimHei" w:eastAsia="SimHei" w:cs="SimHei"/>
      <w:i/>
      <w:iCs/>
      <w:color w:val="000000"/>
      <w:sz w:val="20"/>
      <w:szCs w:val="20"/>
    </w:rPr>
  </w:style>
  <w:style w:type="character" w:default="1" w:styleId="DefaultParagraphFont">
    <w:name w:val="Default Paragraph Font"/>
    <w:uiPriority w:val="1"/>
    <w:semiHidden/>
    <w:unhideWhenUsed/>
    <w:rPr>
      <w:rFonts w:ascii="SimHei" w:hAnsi="SimHei" w:eastAsia="SimHei" w:cs="SimHei"/>
      <w:color w:val="000000"/>
    </w:rPr>
  </w:style>
  <w:style w:type="table" w:default="1" w:styleId="TableNormal">
    <w:name w:val="Normal Table"/>
    <w:uiPriority w:val="99"/>
    <w:semiHidden/>
    <w:unhideWhenUsed/>
    <w:rPr>
      <w:rFonts w:ascii="SimHei" w:hAnsi="SimHei" w:eastAsia="SimHei" w:cs="SimHei"/>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imHei" w:hAnsi="SimHei" w:eastAsia="SimHei" w:cs="SimHe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SimHei" w:hAnsi="SimHei" w:eastAsia="SimHei" w:cs="SimHe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SimHei" w:hAnsi="SimHei" w:eastAsia="SimHei" w:cs="SimHe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SimHei" w:hAnsi="SimHei" w:eastAsia="SimHei" w:cs="SimHe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s="Sim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SimHei" w:hAnsi="SimHei" w:eastAsia="SimHei" w:cs="SimHe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imHei" w:hAnsi="SimHei" w:eastAsia="SimHei" w:cs="SimHei"/>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SimHei" w:hAnsi="SimHei" w:eastAsia="SimHei" w:cs="SimHei"/>
      <w:i/>
      <w:iCs/>
      <w:color w:val="000000"/>
      <w:spacing w:val="15"/>
      <w:sz w:val="24"/>
      <w:szCs w:val="24"/>
    </w:rPr>
  </w:style>
  <w:style w:type="paragraph" w:styleId="ListParagraph">
    <w:name w:val="List Paragraph"/>
    <w:basedOn w:val="Normal"/>
    <w:uiPriority w:val="34"/>
    <w:qFormat/>
    <w:rsid w:val="00FC693F"/>
    <w:pPr>
      <w:ind w:left="720"/>
      <w:contextualSpacing/>
    </w:pPr>
    <w:rPr>
      <w:rFonts w:ascii="SimHei" w:hAnsi="SimHei" w:eastAsia="SimHei" w:cs="SimHei"/>
      <w:color w:val="000000"/>
    </w:rPr>
  </w:style>
  <w:style w:type="paragraph" w:styleId="BodyText">
    <w:name w:val="Body Text"/>
    <w:basedOn w:val="Normal"/>
    <w:link w:val="BodyTextChar"/>
    <w:uiPriority w:val="99"/>
    <w:unhideWhenUsed/>
    <w:rsid w:val="00AA1D8D"/>
    <w:pPr>
      <w:spacing w:after="120"/>
    </w:pPr>
    <w:rPr>
      <w:rFonts w:ascii="SimHei" w:hAnsi="SimHei" w:eastAsia="SimHei" w:cs="SimHei"/>
      <w:color w:val="000000"/>
    </w:rPr>
  </w:style>
  <w:style w:type="character" w:customStyle="1" w:styleId="BodyTextChar">
    <w:name w:val="Body Text Char"/>
    <w:basedOn w:val="DefaultParagraphFont"/>
    <w:link w:val="BodyText"/>
    <w:uiPriority w:val="99"/>
    <w:rsid w:val="00AA1D8D"/>
    <w:rPr>
      <w:rFonts w:ascii="SimHei" w:hAnsi="SimHei" w:eastAsia="SimHei" w:cs="SimHei"/>
      <w:color w:val="000000"/>
    </w:rPr>
  </w:style>
  <w:style w:type="paragraph" w:styleId="BodyText2">
    <w:name w:val="Body Text 2"/>
    <w:basedOn w:val="Normal"/>
    <w:link w:val="BodyText2Char"/>
    <w:uiPriority w:val="99"/>
    <w:unhideWhenUsed/>
    <w:rsid w:val="00AA1D8D"/>
    <w:pPr>
      <w:spacing w:after="120" w:line="480" w:lineRule="auto"/>
    </w:pPr>
    <w:rPr>
      <w:rFonts w:ascii="SimHei" w:hAnsi="SimHei" w:eastAsia="SimHei" w:cs="SimHei"/>
      <w:color w:val="000000"/>
    </w:rPr>
  </w:style>
  <w:style w:type="character" w:customStyle="1" w:styleId="BodyText2Char">
    <w:name w:val="Body Text 2 Char"/>
    <w:basedOn w:val="DefaultParagraphFont"/>
    <w:link w:val="BodyText2"/>
    <w:uiPriority w:val="99"/>
    <w:rsid w:val="00AA1D8D"/>
    <w:rPr>
      <w:rFonts w:ascii="SimHei" w:hAnsi="SimHei" w:eastAsia="SimHei" w:cs="SimHei"/>
      <w:color w:val="000000"/>
    </w:rPr>
  </w:style>
  <w:style w:type="paragraph" w:styleId="BodyText3">
    <w:name w:val="Body Text 3"/>
    <w:basedOn w:val="Normal"/>
    <w:link w:val="BodyText3Char"/>
    <w:uiPriority w:val="99"/>
    <w:unhideWhenUsed/>
    <w:rsid w:val="00AA1D8D"/>
    <w:pPr>
      <w:spacing w:after="120"/>
    </w:pPr>
    <w:rPr>
      <w:rFonts w:ascii="SimHei" w:hAnsi="SimHei" w:eastAsia="SimHei" w:cs="SimHei"/>
      <w:color w:val="000000"/>
      <w:sz w:val="16"/>
      <w:szCs w:val="16"/>
    </w:rPr>
  </w:style>
  <w:style w:type="character" w:customStyle="1" w:styleId="BodyText3Char">
    <w:name w:val="Body Text 3 Char"/>
    <w:basedOn w:val="DefaultParagraphFont"/>
    <w:link w:val="BodyText3"/>
    <w:uiPriority w:val="99"/>
    <w:rsid w:val="00AA1D8D"/>
    <w:rPr>
      <w:rFonts w:ascii="SimHei" w:hAnsi="SimHei" w:eastAsia="SimHei" w:cs="SimHei"/>
      <w:color w:val="000000"/>
      <w:sz w:val="16"/>
      <w:szCs w:val="16"/>
    </w:rPr>
  </w:style>
  <w:style w:type="paragraph" w:styleId="List">
    <w:name w:val="List"/>
    <w:basedOn w:val="Normal"/>
    <w:uiPriority w:val="99"/>
    <w:unhideWhenUsed/>
    <w:rsid w:val="00AA1D8D"/>
    <w:pPr>
      <w:ind w:left="360" w:hanging="360"/>
      <w:contextualSpacing/>
    </w:pPr>
    <w:rPr>
      <w:rFonts w:ascii="SimHei" w:hAnsi="SimHei" w:eastAsia="SimHei" w:cs="SimHei"/>
      <w:color w:val="000000"/>
    </w:rPr>
  </w:style>
  <w:style w:type="paragraph" w:styleId="List2">
    <w:name w:val="List 2"/>
    <w:basedOn w:val="Normal"/>
    <w:uiPriority w:val="99"/>
    <w:unhideWhenUsed/>
    <w:rsid w:val="00326F90"/>
    <w:pPr>
      <w:ind w:left="720" w:hanging="360"/>
      <w:contextualSpacing/>
    </w:pPr>
    <w:rPr>
      <w:rFonts w:ascii="SimHei" w:hAnsi="SimHei" w:eastAsia="SimHei" w:cs="SimHei"/>
      <w:color w:val="000000"/>
    </w:rPr>
  </w:style>
  <w:style w:type="paragraph" w:styleId="List3">
    <w:name w:val="List 3"/>
    <w:basedOn w:val="Normal"/>
    <w:uiPriority w:val="99"/>
    <w:unhideWhenUsed/>
    <w:rsid w:val="00326F90"/>
    <w:pPr>
      <w:ind w:left="1080" w:hanging="360"/>
      <w:contextualSpacing/>
    </w:pPr>
    <w:rPr>
      <w:rFonts w:ascii="SimHei" w:hAnsi="SimHei" w:eastAsia="SimHei" w:cs="SimHei"/>
      <w:color w:val="000000"/>
    </w:rPr>
  </w:style>
  <w:style w:type="paragraph" w:styleId="ListBullet">
    <w:name w:val="List Bullet"/>
    <w:basedOn w:val="Normal"/>
    <w:uiPriority w:val="99"/>
    <w:unhideWhenUsed/>
    <w:rsid w:val="00326F90"/>
    <w:pPr>
      <w:numPr>
        <w:numId w:val="1"/>
      </w:numPr>
      <w:contextualSpacing/>
    </w:pPr>
    <w:rPr>
      <w:rFonts w:ascii="SimHei" w:hAnsi="SimHei" w:eastAsia="SimHei" w:cs="SimHei"/>
      <w:color w:val="000000"/>
    </w:rPr>
  </w:style>
  <w:style w:type="paragraph" w:styleId="ListBullet2">
    <w:name w:val="List Bullet 2"/>
    <w:basedOn w:val="Normal"/>
    <w:uiPriority w:val="99"/>
    <w:unhideWhenUsed/>
    <w:rsid w:val="00326F90"/>
    <w:pPr>
      <w:numPr>
        <w:numId w:val="2"/>
      </w:numPr>
      <w:contextualSpacing/>
    </w:pPr>
    <w:rPr>
      <w:rFonts w:ascii="SimHei" w:hAnsi="SimHei" w:eastAsia="SimHei" w:cs="SimHei"/>
      <w:color w:val="000000"/>
    </w:rPr>
  </w:style>
  <w:style w:type="paragraph" w:styleId="ListBullet3">
    <w:name w:val="List Bullet 3"/>
    <w:basedOn w:val="Normal"/>
    <w:uiPriority w:val="99"/>
    <w:unhideWhenUsed/>
    <w:rsid w:val="00326F90"/>
    <w:pPr>
      <w:numPr>
        <w:numId w:val="3"/>
      </w:numPr>
      <w:contextualSpacing/>
    </w:pPr>
    <w:rPr>
      <w:rFonts w:ascii="SimHei" w:hAnsi="SimHei" w:eastAsia="SimHei" w:cs="SimHei"/>
      <w:color w:val="000000"/>
    </w:rPr>
  </w:style>
  <w:style w:type="paragraph" w:styleId="ListNumber">
    <w:name w:val="List Number"/>
    <w:basedOn w:val="Normal"/>
    <w:uiPriority w:val="99"/>
    <w:unhideWhenUsed/>
    <w:rsid w:val="00326F90"/>
    <w:pPr>
      <w:numPr>
        <w:numId w:val="5"/>
      </w:numPr>
      <w:contextualSpacing/>
    </w:pPr>
    <w:rPr>
      <w:rFonts w:ascii="SimHei" w:hAnsi="SimHei" w:eastAsia="SimHei" w:cs="SimHei"/>
      <w:color w:val="000000"/>
    </w:rPr>
  </w:style>
  <w:style w:type="paragraph" w:styleId="ListNumber2">
    <w:name w:val="List Number 2"/>
    <w:basedOn w:val="Normal"/>
    <w:uiPriority w:val="99"/>
    <w:unhideWhenUsed/>
    <w:rsid w:val="0029639D"/>
    <w:pPr>
      <w:numPr>
        <w:numId w:val="6"/>
      </w:numPr>
      <w:contextualSpacing/>
    </w:pPr>
    <w:rPr>
      <w:rFonts w:ascii="SimHei" w:hAnsi="SimHei" w:eastAsia="SimHei" w:cs="SimHei"/>
      <w:color w:val="000000"/>
    </w:rPr>
  </w:style>
  <w:style w:type="paragraph" w:styleId="ListNumber3">
    <w:name w:val="List Number 3"/>
    <w:basedOn w:val="Normal"/>
    <w:uiPriority w:val="99"/>
    <w:unhideWhenUsed/>
    <w:rsid w:val="0029639D"/>
    <w:pPr>
      <w:numPr>
        <w:numId w:val="7"/>
      </w:numPr>
      <w:contextualSpacing/>
    </w:pPr>
    <w:rPr>
      <w:rFonts w:ascii="SimHei" w:hAnsi="SimHei" w:eastAsia="SimHei" w:cs="SimHei"/>
      <w:color w:val="000000"/>
    </w:rPr>
  </w:style>
  <w:style w:type="paragraph" w:styleId="ListContinue">
    <w:name w:val="List Continue"/>
    <w:basedOn w:val="Normal"/>
    <w:uiPriority w:val="99"/>
    <w:unhideWhenUsed/>
    <w:rsid w:val="0029639D"/>
    <w:pPr>
      <w:spacing w:after="120"/>
      <w:ind w:left="360"/>
      <w:contextualSpacing/>
    </w:pPr>
    <w:rPr>
      <w:rFonts w:ascii="SimHei" w:hAnsi="SimHei" w:eastAsia="SimHei" w:cs="SimHei"/>
      <w:color w:val="000000"/>
    </w:rPr>
  </w:style>
  <w:style w:type="paragraph" w:styleId="ListContinue2">
    <w:name w:val="List Continue 2"/>
    <w:basedOn w:val="Normal"/>
    <w:uiPriority w:val="99"/>
    <w:unhideWhenUsed/>
    <w:rsid w:val="0029639D"/>
    <w:pPr>
      <w:spacing w:after="120"/>
      <w:ind w:left="720"/>
      <w:contextualSpacing/>
    </w:pPr>
    <w:rPr>
      <w:rFonts w:ascii="SimHei" w:hAnsi="SimHei" w:eastAsia="SimHei" w:cs="SimHei"/>
      <w:color w:val="000000"/>
    </w:rPr>
  </w:style>
  <w:style w:type="paragraph" w:styleId="ListContinue3">
    <w:name w:val="List Continue 3"/>
    <w:basedOn w:val="Normal"/>
    <w:uiPriority w:val="99"/>
    <w:unhideWhenUsed/>
    <w:rsid w:val="0029639D"/>
    <w:pPr>
      <w:spacing w:after="120"/>
      <w:ind w:left="1080"/>
      <w:contextualSpacing/>
    </w:pPr>
    <w:rPr>
      <w:rFonts w:ascii="SimHei" w:hAnsi="SimHei" w:eastAsia="SimHei" w:cs="SimHe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imHei" w:hAnsi="SimHei" w:eastAsia="SimHei" w:cs="SimHei"/>
      <w:color w:val="000000"/>
      <w:sz w:val="20"/>
      <w:szCs w:val="20"/>
    </w:rPr>
  </w:style>
  <w:style w:type="character" w:customStyle="1" w:styleId="MacroTextChar">
    <w:name w:val="Macro Text Char"/>
    <w:basedOn w:val="DefaultParagraphFont"/>
    <w:link w:val="MacroText"/>
    <w:uiPriority w:val="99"/>
    <w:rsid w:val="0029639D"/>
    <w:rPr>
      <w:rFonts w:ascii="SimHei" w:hAnsi="SimHei" w:eastAsia="SimHei" w:cs="SimHei"/>
      <w:color w:val="000000"/>
      <w:sz w:val="20"/>
      <w:szCs w:val="20"/>
    </w:rPr>
  </w:style>
  <w:style w:type="paragraph" w:styleId="Quote">
    <w:name w:val="Quote"/>
    <w:basedOn w:val="Normal"/>
    <w:next w:val="Normal"/>
    <w:link w:val="QuoteChar"/>
    <w:uiPriority w:val="29"/>
    <w:qFormat/>
    <w:rsid w:val="00FC693F"/>
    <w:rPr>
      <w:rFonts w:ascii="SimHei" w:hAnsi="SimHei" w:eastAsia="SimHei" w:cs="SimHei"/>
      <w:i/>
      <w:iCs/>
      <w:color w:val="000000"/>
    </w:rPr>
  </w:style>
  <w:style w:type="character" w:customStyle="1" w:styleId="QuoteChar">
    <w:name w:val="Quote Char"/>
    <w:basedOn w:val="DefaultParagraphFont"/>
    <w:link w:val="Quote"/>
    <w:uiPriority w:val="29"/>
    <w:rsid w:val="00FC693F"/>
    <w:rPr>
      <w:rFonts w:ascii="SimHei" w:hAnsi="SimHei" w:eastAsia="SimHei" w:cs="SimHei"/>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SimHei" w:hAnsi="SimHei" w:eastAsia="SimHei" w:cs="SimHe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SimHei" w:hAnsi="SimHei" w:eastAsia="SimHei" w:cs="SimHe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SimHei" w:hAnsi="SimHei" w:eastAsia="SimHei" w:cs="SimHe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SimHei" w:hAnsi="SimHei" w:eastAsia="SimHei" w:cs="SimHe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SimHei" w:hAnsi="SimHei" w:eastAsia="SimHei" w:cs="SimHe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SimHei" w:hAnsi="SimHei" w:eastAsia="SimHei" w:cs="SimHe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SimHei" w:hAnsi="SimHei" w:eastAsia="SimHei" w:cs="SimHei"/>
      <w:b/>
      <w:bCs/>
      <w:color w:val="000000"/>
      <w:sz w:val="18"/>
      <w:szCs w:val="18"/>
    </w:rPr>
  </w:style>
  <w:style w:type="character" w:styleId="Strong">
    <w:name w:val="Strong"/>
    <w:basedOn w:val="DefaultParagraphFont"/>
    <w:uiPriority w:val="22"/>
    <w:qFormat/>
    <w:rsid w:val="00FC693F"/>
    <w:rPr>
      <w:rFonts w:ascii="SimHei" w:hAnsi="SimHei" w:eastAsia="SimHei" w:cs="SimHei"/>
      <w:b/>
      <w:bCs/>
      <w:color w:val="000000"/>
    </w:rPr>
  </w:style>
  <w:style w:type="character" w:styleId="Emphasis">
    <w:name w:val="Emphasis"/>
    <w:basedOn w:val="DefaultParagraphFont"/>
    <w:uiPriority w:val="20"/>
    <w:qFormat/>
    <w:rsid w:val="00FC693F"/>
    <w:rPr>
      <w:rFonts w:ascii="SimHei" w:hAnsi="SimHei" w:eastAsia="SimHei" w:cs="SimHei"/>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SimHei" w:hAnsi="SimHei" w:eastAsia="SimHei" w:cs="SimHei"/>
      <w:b/>
      <w:bCs/>
      <w:i/>
      <w:iCs/>
      <w:color w:val="000000"/>
    </w:rPr>
  </w:style>
  <w:style w:type="character" w:customStyle="1" w:styleId="IntenseQuoteChar">
    <w:name w:val="Intense Quote Char"/>
    <w:basedOn w:val="DefaultParagraphFont"/>
    <w:link w:val="IntenseQuote"/>
    <w:uiPriority w:val="30"/>
    <w:rsid w:val="00FC693F"/>
    <w:rPr>
      <w:rFonts w:ascii="SimHei" w:hAnsi="SimHei" w:eastAsia="SimHei" w:cs="SimHei"/>
      <w:b/>
      <w:bCs/>
      <w:i/>
      <w:iCs/>
      <w:color w:val="000000"/>
    </w:rPr>
  </w:style>
  <w:style w:type="character" w:styleId="SubtleEmphasis">
    <w:name w:val="Subtle Emphasis"/>
    <w:basedOn w:val="DefaultParagraphFont"/>
    <w:uiPriority w:val="19"/>
    <w:qFormat/>
    <w:rsid w:val="00FC693F"/>
    <w:rPr>
      <w:rFonts w:ascii="SimHei" w:hAnsi="SimHei" w:eastAsia="SimHei" w:cs="SimHei"/>
      <w:i/>
      <w:iCs/>
      <w:color w:val="000000"/>
    </w:rPr>
  </w:style>
  <w:style w:type="character" w:styleId="IntenseEmphasis">
    <w:name w:val="Intense Emphasis"/>
    <w:basedOn w:val="DefaultParagraphFont"/>
    <w:uiPriority w:val="21"/>
    <w:qFormat/>
    <w:rsid w:val="00FC693F"/>
    <w:rPr>
      <w:rFonts w:ascii="SimHei" w:hAnsi="SimHei" w:eastAsia="SimHei" w:cs="SimHei"/>
      <w:b/>
      <w:bCs/>
      <w:i/>
      <w:iCs/>
      <w:color w:val="000000"/>
    </w:rPr>
  </w:style>
  <w:style w:type="character" w:styleId="SubtleReference">
    <w:name w:val="Subtle Reference"/>
    <w:basedOn w:val="DefaultParagraphFont"/>
    <w:uiPriority w:val="31"/>
    <w:qFormat/>
    <w:rsid w:val="00FC693F"/>
    <w:rPr>
      <w:rFonts w:ascii="SimHei" w:hAnsi="SimHei" w:eastAsia="SimHei" w:cs="SimHei"/>
      <w:smallCaps/>
      <w:color w:val="000000"/>
      <w:u w:val="single"/>
    </w:rPr>
  </w:style>
  <w:style w:type="character" w:styleId="IntenseReference">
    <w:name w:val="Intense Reference"/>
    <w:basedOn w:val="DefaultParagraphFont"/>
    <w:uiPriority w:val="32"/>
    <w:qFormat/>
    <w:rsid w:val="00FC693F"/>
    <w:rPr>
      <w:rFonts w:ascii="SimHei" w:hAnsi="SimHei" w:eastAsia="SimHei" w:cs="SimHei"/>
      <w:b/>
      <w:bCs/>
      <w:smallCaps/>
      <w:color w:val="000000"/>
      <w:spacing w:val="5"/>
      <w:u w:val="single"/>
    </w:rPr>
  </w:style>
  <w:style w:type="character" w:styleId="BookTitle">
    <w:name w:val="Book Title"/>
    <w:basedOn w:val="DefaultParagraphFont"/>
    <w:uiPriority w:val="33"/>
    <w:qFormat/>
    <w:rsid w:val="00FC693F"/>
    <w:rPr>
      <w:rFonts w:ascii="SimHei" w:hAnsi="SimHei" w:eastAsia="SimHei" w:cs="SimHei"/>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SimHei" w:hAnsi="SimHei" w:eastAsia="SimHei" w:cs="SimHei"/>
      <w:color w:val="000000"/>
    </w:rPr>
  </w:style>
  <w:style w:type="table" w:styleId="TableGrid">
    <w:name w:val="Table Grid"/>
    <w:basedOn w:val="TableNormal"/>
    <w:uiPriority w:val="59"/>
    <w:rsid w:val="00FC693F"/>
    <w:pPr>
      <w:spacing w:after="0" w:line="240" w:lineRule="auto"/>
    </w:pPr>
    <w:rPr>
      <w:rFonts w:ascii="SimHei" w:hAnsi="SimHei" w:eastAsia="SimHei" w:cs="SimHei"/>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SimHei" w:hAnsi="SimHei" w:eastAsia="SimHei" w:cs="SimHe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SimHei" w:hAnsi="SimHei" w:eastAsia="SimHei" w:cs="SimHe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SimHei" w:hAnsi="SimHei" w:eastAsia="SimHei" w:cs="SimHe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SimHei" w:hAnsi="SimHei" w:eastAsia="SimHei" w:cs="SimHe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SimHei" w:hAnsi="SimHei" w:eastAsia="SimHei" w:cs="SimHe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SimHei" w:hAnsi="SimHei" w:eastAsia="SimHei" w:cs="SimHe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SimHei" w:hAnsi="SimHei" w:eastAsia="SimHei" w:cs="SimHe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SimHei" w:hAnsi="SimHei" w:eastAsia="SimHei" w:cs="SimHe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SimHei" w:hAnsi="SimHei" w:eastAsia="SimHei" w:cs="SimHe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SimHei" w:hAnsi="SimHei" w:eastAsia="SimHei" w:cs="SimHe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SimHei" w:hAnsi="SimHei" w:eastAsia="SimHei" w:cs="SimHei"/>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SimHei" w:hAnsi="SimHei" w:eastAsia="SimHei" w:cs="SimHei"/>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SimHei" w:hAnsi="SimHei" w:eastAsia="SimHei" w:cs="SimHei"/>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SimHei" w:hAnsi="SimHei" w:eastAsia="SimHei" w:cs="SimHei"/>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SimHei" w:hAnsi="SimHei" w:eastAsia="SimHei" w:cs="SimHei"/>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SimHei" w:hAnsi="SimHei" w:eastAsia="SimHei" w:cs="SimHei"/>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SimHei" w:hAnsi="SimHei" w:eastAsia="SimHei" w:cs="SimHei"/>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SimHei" w:hAnsi="SimHei" w:eastAsia="SimHei" w:cs="SimHei"/>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SimHei" w:hAnsi="SimHei" w:eastAsia="SimHei" w:cs="SimHe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SimHei" w:hAnsi="SimHei" w:eastAsia="SimHei" w:cs="SimHe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SimHei" w:hAnsi="SimHei" w:eastAsia="SimHei" w:cs="SimHe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SimHei" w:hAnsi="SimHei" w:eastAsia="SimHei" w:cs="SimHe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SimHei" w:hAnsi="SimHei" w:eastAsia="SimHei" w:cs="SimHe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SimHei" w:hAnsi="SimHei" w:eastAsia="SimHei" w:cs="SimHe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SimHei" w:hAnsi="SimHei" w:eastAsia="SimHei" w:cs="SimHe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SimHei" w:hAnsi="SimHei" w:eastAsia="SimHei" w:cs="SimHei"/>
      <w:color w:val="000000"/>
      <w:sz w:val="18"/>
    </w:rPr>
  </w:style>
  <w:style w:type="paragraph" w:customStyle="1" w:styleId="Callout">
    <w:name w:val="Callout"/>
    <w:pPr>
      <w:spacing w:before="120" w:after="120"/>
      <w:ind w:left="283" w:right="283"/>
    </w:pPr>
    <w:rPr>
      <w:rFonts w:ascii="SimHei" w:hAnsi="SimHei" w:eastAsia="SimHei" w:cs="SimHei"/>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AJSE Phase 2A 详细写作大纲：整体逻辑、关键词与实验详解版</dc:title>
  <dc:subject>Arabian Journal for Science and Engineering 投稿写作与实验回填蓝图</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