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379D6" w14:textId="77777777" w:rsidR="00E42F89" w:rsidRPr="00670A78" w:rsidRDefault="00000000">
      <w:pPr>
        <w:spacing w:before="1100"/>
        <w:jc w:val="center"/>
      </w:pPr>
      <w:r w:rsidRPr="00670A78">
        <w:rPr>
          <w:b/>
          <w:sz w:val="40"/>
        </w:rPr>
        <w:t>City–Metro Scale Sensitivity in Urban Traffic Performance</w:t>
      </w:r>
    </w:p>
    <w:p w14:paraId="6D15EE37" w14:textId="77777777" w:rsidR="00E42F89" w:rsidRPr="00670A78" w:rsidRDefault="00000000">
      <w:pPr>
        <w:jc w:val="center"/>
      </w:pPr>
      <w:r w:rsidRPr="00670A78">
        <w:rPr>
          <w:i/>
          <w:sz w:val="26"/>
        </w:rPr>
        <w:t>A Q2-Target, Q1-Standard Research Design for a Floating-Car-Data Manuscript</w:t>
      </w:r>
    </w:p>
    <w:p w14:paraId="7D60AE43" w14:textId="77777777" w:rsidR="00E42F89" w:rsidRPr="00670A78" w:rsidRDefault="00E42F89"/>
    <w:p w14:paraId="010A2AF8" w14:textId="77777777" w:rsidR="00E42F89" w:rsidRPr="00670A78" w:rsidRDefault="00000000">
      <w:pPr>
        <w:jc w:val="center"/>
        <w:rPr>
          <w:lang w:eastAsia="zh-CN"/>
        </w:rPr>
      </w:pPr>
      <w:r w:rsidRPr="00670A78">
        <w:rPr>
          <w:sz w:val="24"/>
          <w:lang w:eastAsia="zh-CN"/>
        </w:rPr>
        <w:t>论文定位、标题、数据清单、方法体系、图表方案、风险规避与结论强度控制</w:t>
      </w:r>
    </w:p>
    <w:p w14:paraId="7E1F0B7C" w14:textId="77777777" w:rsidR="00E42F89" w:rsidRPr="00670A78" w:rsidRDefault="00E42F89">
      <w:pPr>
        <w:rPr>
          <w:lang w:eastAsia="zh-CN"/>
        </w:rPr>
      </w:pPr>
    </w:p>
    <w:p w14:paraId="08089860" w14:textId="77777777" w:rsidR="00E42F89" w:rsidRPr="00670A78" w:rsidRDefault="00000000">
      <w:pPr>
        <w:jc w:val="center"/>
      </w:pPr>
      <w:r w:rsidRPr="00670A78">
        <w:t>Prepared for: Sun Wenjie</w:t>
      </w:r>
      <w:r w:rsidRPr="00670A78">
        <w:br/>
        <w:t>Faculty of Built Environment and Surveying</w:t>
      </w:r>
      <w:r w:rsidRPr="00670A78">
        <w:br/>
        <w:t>Universiti Teknologi Malaysia</w:t>
      </w:r>
    </w:p>
    <w:p w14:paraId="4CCA5159" w14:textId="77777777" w:rsidR="00E42F89" w:rsidRPr="00670A78" w:rsidRDefault="00E42F89"/>
    <w:p w14:paraId="089F9F33" w14:textId="77777777" w:rsidR="00E42F89" w:rsidRPr="00670A78" w:rsidRDefault="00000000">
      <w:pPr>
        <w:jc w:val="center"/>
      </w:pPr>
      <w:r w:rsidRPr="00670A78">
        <w:rPr>
          <w:sz w:val="19"/>
        </w:rPr>
        <w:t>Version: 1.0 | Purpose: Manuscript planning and data-collection control</w:t>
      </w:r>
    </w:p>
    <w:p w14:paraId="6EAB0F29" w14:textId="77777777" w:rsidR="00E42F89" w:rsidRPr="00670A78" w:rsidRDefault="00000000">
      <w:r w:rsidRPr="00670A78">
        <w:br w:type="page"/>
      </w:r>
    </w:p>
    <w:p w14:paraId="33719B78" w14:textId="77777777" w:rsidR="00E42F89" w:rsidRPr="00670A78" w:rsidRDefault="00000000">
      <w:pPr>
        <w:pStyle w:val="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lastRenderedPageBreak/>
        <w:t>Table of Contents</w:t>
      </w:r>
    </w:p>
    <w:p w14:paraId="286622F0" w14:textId="77777777" w:rsidR="00E42F89" w:rsidRPr="00670A78" w:rsidRDefault="00000000">
      <w:r w:rsidRPr="00670A78">
        <w:t>1. Executive decision</w:t>
      </w:r>
    </w:p>
    <w:p w14:paraId="71570A94" w14:textId="77777777" w:rsidR="00E42F89" w:rsidRPr="00670A78" w:rsidRDefault="00000000">
      <w:r w:rsidRPr="00670A78">
        <w:t>2. Recommended title and manuscript positioning</w:t>
      </w:r>
    </w:p>
    <w:p w14:paraId="333DD537" w14:textId="77777777" w:rsidR="00E42F89" w:rsidRPr="00670A78" w:rsidRDefault="00000000">
      <w:r w:rsidRPr="00670A78">
        <w:t>3. Research gap, objectives, questions and contributions</w:t>
      </w:r>
    </w:p>
    <w:p w14:paraId="662965C9" w14:textId="77777777" w:rsidR="00E42F89" w:rsidRPr="00670A78" w:rsidRDefault="00000000">
      <w:r w:rsidRPr="00670A78">
        <w:t>4. Required data and data-collection template</w:t>
      </w:r>
    </w:p>
    <w:p w14:paraId="5D32C2CF" w14:textId="77777777" w:rsidR="00E42F89" w:rsidRPr="00670A78" w:rsidRDefault="00000000">
      <w:r w:rsidRPr="00670A78">
        <w:t>5. Analytical framework and equations</w:t>
      </w:r>
    </w:p>
    <w:p w14:paraId="7F686386" w14:textId="77777777" w:rsidR="00E42F89" w:rsidRPr="00670A78" w:rsidRDefault="00000000">
      <w:r w:rsidRPr="00670A78">
        <w:t>6. Figure and table package</w:t>
      </w:r>
    </w:p>
    <w:p w14:paraId="62BF1432" w14:textId="77777777" w:rsidR="00E42F89" w:rsidRPr="00670A78" w:rsidRDefault="00000000">
      <w:r w:rsidRPr="00670A78">
        <w:t>7. Full manuscript outline</w:t>
      </w:r>
    </w:p>
    <w:p w14:paraId="5776C091" w14:textId="77777777" w:rsidR="00E42F89" w:rsidRPr="00670A78" w:rsidRDefault="00000000">
      <w:r w:rsidRPr="00670A78">
        <w:t>8. Risk control and defensible wording</w:t>
      </w:r>
    </w:p>
    <w:p w14:paraId="01C664EE" w14:textId="77777777" w:rsidR="00E42F89" w:rsidRPr="00670A78" w:rsidRDefault="00000000">
      <w:r w:rsidRPr="00670A78">
        <w:t>9. Expected results and conclusion strength</w:t>
      </w:r>
    </w:p>
    <w:p w14:paraId="331AA14E" w14:textId="77777777" w:rsidR="00E42F89" w:rsidRPr="00670A78" w:rsidRDefault="00000000">
      <w:r w:rsidRPr="00670A78">
        <w:t>10. Journal positioning and submission strategy</w:t>
      </w:r>
    </w:p>
    <w:p w14:paraId="1FAAF293" w14:textId="77777777" w:rsidR="00E42F89" w:rsidRPr="00670A78" w:rsidRDefault="00000000">
      <w:r w:rsidRPr="00670A78">
        <w:t>References</w:t>
      </w:r>
    </w:p>
    <w:p w14:paraId="7C28B595" w14:textId="77777777" w:rsidR="00E42F89" w:rsidRPr="00670A78" w:rsidRDefault="00000000">
      <w:r w:rsidRPr="00670A78">
        <w:t>Appendix A. Minimum Excel workbook structure</w:t>
      </w:r>
    </w:p>
    <w:p w14:paraId="40CB2092" w14:textId="77777777" w:rsidR="00E42F89" w:rsidRPr="00670A78" w:rsidRDefault="00000000">
      <w:r w:rsidRPr="00670A78">
        <w:br w:type="page"/>
      </w:r>
    </w:p>
    <w:p w14:paraId="4BAD5C3A" w14:textId="77777777" w:rsidR="00E42F89" w:rsidRPr="00670A78" w:rsidRDefault="00000000">
      <w:pPr>
        <w:pStyle w:val="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lastRenderedPageBreak/>
        <w:t>1. Executive decision</w:t>
      </w:r>
    </w:p>
    <w:p w14:paraId="54B7F915" w14:textId="77777777" w:rsidR="00E42F89" w:rsidRPr="00670A78" w:rsidRDefault="00000000">
      <w:r w:rsidRPr="00670A78">
        <w:t>本方案建议将论文定位为一篇探索性方法诊断研究，而不是普通的马来西亚城市拥堵排名文章。核心问题应为：同一个城市在</w:t>
      </w:r>
      <w:r w:rsidRPr="00670A78">
        <w:t xml:space="preserve"> City </w:t>
      </w:r>
      <w:r w:rsidRPr="00670A78">
        <w:t>和</w:t>
      </w:r>
      <w:r w:rsidRPr="00670A78">
        <w:t xml:space="preserve"> Metro </w:t>
      </w:r>
      <w:r w:rsidRPr="00670A78">
        <w:t>两种空间尺度下，平台化交通指标是否给出一致的拥堵、速度、旅行时间和高峰诊断。</w:t>
      </w:r>
    </w:p>
    <w:p w14:paraId="30DB7691" w14:textId="77777777" w:rsidR="00E42F89" w:rsidRPr="00670A78" w:rsidRDefault="00000000">
      <w:r w:rsidRPr="00670A78">
        <w:t>最稳的论文主线是：平台化</w:t>
      </w:r>
      <w:r w:rsidRPr="00670A78">
        <w:t xml:space="preserve"> FCD </w:t>
      </w:r>
      <w:r w:rsidRPr="00670A78">
        <w:t>指标并非天然尺度中立；如果研究者只引用</w:t>
      </w:r>
      <w:r w:rsidRPr="00670A78">
        <w:t xml:space="preserve"> city ranking </w:t>
      </w:r>
      <w:r w:rsidRPr="00670A78">
        <w:t>或只引用</w:t>
      </w:r>
      <w:r w:rsidRPr="00670A78">
        <w:t xml:space="preserve"> metro ranking</w:t>
      </w:r>
      <w:r w:rsidRPr="00670A78">
        <w:t>，可能得到不同的交通表现判断。因此，本文通过</w:t>
      </w:r>
      <w:r w:rsidRPr="00670A78">
        <w:t xml:space="preserve"> City–Metro paired comparison</w:t>
      </w:r>
      <w:r w:rsidRPr="00670A78">
        <w:t>、</w:t>
      </w:r>
      <w:r w:rsidRPr="00670A78">
        <w:t>normalised difference</w:t>
      </w:r>
      <w:r w:rsidRPr="00670A78">
        <w:t>、</w:t>
      </w:r>
      <w:r w:rsidRPr="00670A78">
        <w:t>ranking instability</w:t>
      </w:r>
      <w:r w:rsidRPr="00670A78">
        <w:t>、</w:t>
      </w:r>
      <w:r w:rsidRPr="00670A78">
        <w:t xml:space="preserve">Bland–Altman agreement analysis </w:t>
      </w:r>
      <w:r w:rsidRPr="00670A78">
        <w:t>和</w:t>
      </w:r>
      <w:r w:rsidRPr="00670A78">
        <w:t xml:space="preserve"> temporal heatmap difference </w:t>
      </w:r>
      <w:r w:rsidRPr="00670A78">
        <w:t>来检验尺度敏感性。</w:t>
      </w:r>
    </w:p>
    <w:p w14:paraId="6E606DA4" w14:textId="77777777" w:rsidR="00E42F89" w:rsidRPr="00670A78" w:rsidRDefault="00000000">
      <w:r w:rsidRPr="00670A78">
        <w:rPr>
          <w:b/>
        </w:rPr>
        <w:t>一句话定位：</w:t>
      </w:r>
    </w:p>
    <w:p w14:paraId="045B2C09" w14:textId="77777777" w:rsidR="00E42F89" w:rsidRPr="00670A78" w:rsidRDefault="00000000">
      <w:r w:rsidRPr="00670A78">
        <w:rPr>
          <w:i/>
        </w:rPr>
        <w:t>This study does not ask which Malaysian city is the most congested. It asks whether the answer changes when the same city is measured at city and metropolitan scales.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70A78" w:rsidRPr="00670A78" w14:paraId="5BCC3C7E" w14:textId="77777777">
        <w:trPr>
          <w:tblHeader/>
          <w:jc w:val="center"/>
        </w:trPr>
        <w:tc>
          <w:tcPr>
            <w:tcW w:w="3213" w:type="dxa"/>
            <w:shd w:val="clear" w:color="auto" w:fill="D9EAF7"/>
            <w:vAlign w:val="center"/>
          </w:tcPr>
          <w:p w14:paraId="38B507B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7"/>
              </w:rPr>
              <w:t>判断项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13F51AD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7"/>
              </w:rPr>
              <w:t>结论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3D14A35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7"/>
              </w:rPr>
              <w:t>对论文的意义</w:t>
            </w:r>
          </w:p>
        </w:tc>
      </w:tr>
      <w:tr w:rsidR="00670A78" w:rsidRPr="00670A78" w14:paraId="3A216127" w14:textId="77777777">
        <w:trPr>
          <w:jc w:val="center"/>
        </w:trPr>
        <w:tc>
          <w:tcPr>
            <w:tcW w:w="3213" w:type="dxa"/>
            <w:vAlign w:val="center"/>
          </w:tcPr>
          <w:p w14:paraId="45398477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7"/>
              </w:rPr>
              <w:t>数据方向</w:t>
            </w:r>
            <w:proofErr w:type="spellEnd"/>
          </w:p>
        </w:tc>
        <w:tc>
          <w:tcPr>
            <w:tcW w:w="3213" w:type="dxa"/>
            <w:vAlign w:val="center"/>
          </w:tcPr>
          <w:p w14:paraId="4A9BA92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7"/>
              </w:rPr>
              <w:t>可行，但必须采齐</w:t>
            </w:r>
            <w:r w:rsidRPr="00670A78">
              <w:rPr>
                <w:sz w:val="17"/>
              </w:rPr>
              <w:t xml:space="preserve"> City + Metro</w:t>
            </w:r>
          </w:p>
        </w:tc>
        <w:tc>
          <w:tcPr>
            <w:tcW w:w="3213" w:type="dxa"/>
            <w:vAlign w:val="center"/>
          </w:tcPr>
          <w:p w14:paraId="50B490BC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7"/>
                <w:lang w:eastAsia="zh-CN"/>
              </w:rPr>
              <w:t>只要</w:t>
            </w:r>
            <w:r w:rsidRPr="00670A78">
              <w:rPr>
                <w:sz w:val="17"/>
                <w:lang w:eastAsia="zh-CN"/>
              </w:rPr>
              <w:t xml:space="preserve"> 7 </w:t>
            </w:r>
            <w:r w:rsidRPr="00670A78">
              <w:rPr>
                <w:sz w:val="17"/>
                <w:lang w:eastAsia="zh-CN"/>
              </w:rPr>
              <w:t>城市均有双尺度数据，文章核心成立。</w:t>
            </w:r>
          </w:p>
        </w:tc>
      </w:tr>
      <w:tr w:rsidR="00670A78" w:rsidRPr="00670A78" w14:paraId="6B6F6183" w14:textId="77777777">
        <w:trPr>
          <w:jc w:val="center"/>
        </w:trPr>
        <w:tc>
          <w:tcPr>
            <w:tcW w:w="3213" w:type="dxa"/>
            <w:vAlign w:val="center"/>
          </w:tcPr>
          <w:p w14:paraId="2D98DB61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7"/>
              </w:rPr>
              <w:t>投稿定位</w:t>
            </w:r>
            <w:proofErr w:type="spellEnd"/>
          </w:p>
        </w:tc>
        <w:tc>
          <w:tcPr>
            <w:tcW w:w="3213" w:type="dxa"/>
            <w:vAlign w:val="center"/>
          </w:tcPr>
          <w:p w14:paraId="5C24D348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7"/>
                <w:lang w:eastAsia="zh-CN"/>
              </w:rPr>
              <w:t xml:space="preserve">JCR Q2 </w:t>
            </w:r>
            <w:r w:rsidRPr="00670A78">
              <w:rPr>
                <w:sz w:val="17"/>
                <w:lang w:eastAsia="zh-CN"/>
              </w:rPr>
              <w:t>目标，按</w:t>
            </w:r>
            <w:r w:rsidRPr="00670A78">
              <w:rPr>
                <w:sz w:val="17"/>
                <w:lang w:eastAsia="zh-CN"/>
              </w:rPr>
              <w:t xml:space="preserve"> Q1 </w:t>
            </w:r>
            <w:r w:rsidRPr="00670A78">
              <w:rPr>
                <w:sz w:val="17"/>
                <w:lang w:eastAsia="zh-CN"/>
              </w:rPr>
              <w:t>标准设计</w:t>
            </w:r>
          </w:p>
        </w:tc>
        <w:tc>
          <w:tcPr>
            <w:tcW w:w="3213" w:type="dxa"/>
            <w:vAlign w:val="center"/>
          </w:tcPr>
          <w:p w14:paraId="0BCA5018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7"/>
                <w:lang w:eastAsia="zh-CN"/>
              </w:rPr>
              <w:t>方法、图表和风险</w:t>
            </w:r>
            <w:proofErr w:type="gramStart"/>
            <w:r w:rsidRPr="00670A78">
              <w:rPr>
                <w:sz w:val="17"/>
                <w:lang w:eastAsia="zh-CN"/>
              </w:rPr>
              <w:t>控制按</w:t>
            </w:r>
            <w:proofErr w:type="gramEnd"/>
            <w:r w:rsidRPr="00670A78">
              <w:rPr>
                <w:sz w:val="17"/>
                <w:lang w:eastAsia="zh-CN"/>
              </w:rPr>
              <w:t>高标准执行，但结论避免强因果。</w:t>
            </w:r>
          </w:p>
        </w:tc>
      </w:tr>
      <w:tr w:rsidR="00670A78" w:rsidRPr="00670A78" w14:paraId="3878D69C" w14:textId="77777777">
        <w:trPr>
          <w:jc w:val="center"/>
        </w:trPr>
        <w:tc>
          <w:tcPr>
            <w:tcW w:w="3213" w:type="dxa"/>
            <w:vAlign w:val="center"/>
          </w:tcPr>
          <w:p w14:paraId="2AFCD2A8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7"/>
              </w:rPr>
              <w:t>最佳文章类型</w:t>
            </w:r>
            <w:proofErr w:type="spellEnd"/>
          </w:p>
        </w:tc>
        <w:tc>
          <w:tcPr>
            <w:tcW w:w="3213" w:type="dxa"/>
            <w:vAlign w:val="center"/>
          </w:tcPr>
          <w:p w14:paraId="402A387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7"/>
              </w:rPr>
              <w:t>Exploratory methodological diagnostic study</w:t>
            </w:r>
          </w:p>
        </w:tc>
        <w:tc>
          <w:tcPr>
            <w:tcW w:w="3213" w:type="dxa"/>
            <w:vAlign w:val="center"/>
          </w:tcPr>
          <w:p w14:paraId="2EC436D8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7"/>
                <w:lang w:eastAsia="zh-CN"/>
              </w:rPr>
              <w:t>强调测度敏感性、配对比较和排名稳定性。</w:t>
            </w:r>
          </w:p>
        </w:tc>
      </w:tr>
      <w:tr w:rsidR="00670A78" w:rsidRPr="00670A78" w14:paraId="4D186BAB" w14:textId="77777777">
        <w:trPr>
          <w:jc w:val="center"/>
        </w:trPr>
        <w:tc>
          <w:tcPr>
            <w:tcW w:w="3213" w:type="dxa"/>
            <w:vAlign w:val="center"/>
          </w:tcPr>
          <w:p w14:paraId="0ECDE5DB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7"/>
              </w:rPr>
              <w:t>最大风险</w:t>
            </w:r>
            <w:proofErr w:type="spellEnd"/>
          </w:p>
        </w:tc>
        <w:tc>
          <w:tcPr>
            <w:tcW w:w="3213" w:type="dxa"/>
            <w:vAlign w:val="center"/>
          </w:tcPr>
          <w:p w14:paraId="0BF7CB7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7"/>
              </w:rPr>
              <w:t xml:space="preserve">TomTom proprietary boundaries </w:t>
            </w:r>
            <w:r w:rsidRPr="00670A78">
              <w:rPr>
                <w:sz w:val="17"/>
              </w:rPr>
              <w:t>不可见</w:t>
            </w:r>
          </w:p>
        </w:tc>
        <w:tc>
          <w:tcPr>
            <w:tcW w:w="3213" w:type="dxa"/>
            <w:vAlign w:val="center"/>
          </w:tcPr>
          <w:p w14:paraId="3C4563F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7"/>
              </w:rPr>
              <w:t>规避方式是写</w:t>
            </w:r>
            <w:r w:rsidRPr="00670A78">
              <w:rPr>
                <w:sz w:val="17"/>
              </w:rPr>
              <w:t xml:space="preserve"> reported city-scale and metro-scale indicators</w:t>
            </w:r>
            <w:r w:rsidRPr="00670A78">
              <w:rPr>
                <w:sz w:val="17"/>
              </w:rPr>
              <w:t>，而不是</w:t>
            </w:r>
            <w:r w:rsidRPr="00670A78">
              <w:rPr>
                <w:sz w:val="17"/>
              </w:rPr>
              <w:t xml:space="preserve"> exact boundary effects</w:t>
            </w:r>
            <w:r w:rsidRPr="00670A78">
              <w:rPr>
                <w:sz w:val="17"/>
              </w:rPr>
              <w:t>。</w:t>
            </w:r>
          </w:p>
        </w:tc>
      </w:tr>
      <w:tr w:rsidR="00670A78" w:rsidRPr="00670A78" w14:paraId="5AC6CB4C" w14:textId="77777777">
        <w:trPr>
          <w:jc w:val="center"/>
        </w:trPr>
        <w:tc>
          <w:tcPr>
            <w:tcW w:w="3213" w:type="dxa"/>
            <w:vAlign w:val="center"/>
          </w:tcPr>
          <w:p w14:paraId="3CE76BC5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7"/>
              </w:rPr>
              <w:t>最大卖点</w:t>
            </w:r>
            <w:proofErr w:type="spellEnd"/>
          </w:p>
        </w:tc>
        <w:tc>
          <w:tcPr>
            <w:tcW w:w="3213" w:type="dxa"/>
            <w:vAlign w:val="center"/>
          </w:tcPr>
          <w:p w14:paraId="151E269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7"/>
              </w:rPr>
              <w:t>完整覆盖</w:t>
            </w:r>
            <w:r w:rsidRPr="00670A78">
              <w:rPr>
                <w:sz w:val="17"/>
              </w:rPr>
              <w:t xml:space="preserve"> TomTom Malaysia </w:t>
            </w:r>
            <w:r w:rsidRPr="00670A78">
              <w:rPr>
                <w:sz w:val="17"/>
              </w:rPr>
              <w:t>收录城市</w:t>
            </w:r>
          </w:p>
        </w:tc>
        <w:tc>
          <w:tcPr>
            <w:tcW w:w="3213" w:type="dxa"/>
            <w:vAlign w:val="center"/>
          </w:tcPr>
          <w:p w14:paraId="40BAD69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7"/>
              </w:rPr>
              <w:t>如果</w:t>
            </w:r>
            <w:r w:rsidRPr="00670A78">
              <w:rPr>
                <w:sz w:val="17"/>
              </w:rPr>
              <w:t xml:space="preserve"> TomTom Malaysia </w:t>
            </w:r>
            <w:r w:rsidRPr="00670A78">
              <w:rPr>
                <w:sz w:val="17"/>
              </w:rPr>
              <w:t>当前收录</w:t>
            </w:r>
            <w:r w:rsidRPr="00670A78">
              <w:rPr>
                <w:sz w:val="17"/>
              </w:rPr>
              <w:t xml:space="preserve"> 7 </w:t>
            </w:r>
            <w:r w:rsidRPr="00670A78">
              <w:rPr>
                <w:sz w:val="17"/>
              </w:rPr>
              <w:t>城市，则样本可写为</w:t>
            </w:r>
            <w:r w:rsidRPr="00670A78">
              <w:rPr>
                <w:sz w:val="17"/>
              </w:rPr>
              <w:t xml:space="preserve"> all available Malaysian cities</w:t>
            </w:r>
            <w:r w:rsidRPr="00670A78">
              <w:rPr>
                <w:sz w:val="17"/>
              </w:rPr>
              <w:t>。</w:t>
            </w:r>
          </w:p>
        </w:tc>
      </w:tr>
    </w:tbl>
    <w:p w14:paraId="17721328" w14:textId="77777777" w:rsidR="00E42F89" w:rsidRPr="00670A78" w:rsidRDefault="00000000">
      <w:pPr>
        <w:pStyle w:val="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2. Recommended title and manuscript positioning</w:t>
      </w:r>
    </w:p>
    <w:p w14:paraId="0E559244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2.1 Recommended final title</w:t>
      </w:r>
    </w:p>
    <w:p w14:paraId="03D8FF0B" w14:textId="77777777" w:rsidR="00E42F89" w:rsidRPr="00670A78" w:rsidRDefault="00000000">
      <w:r w:rsidRPr="00670A78">
        <w:rPr>
          <w:b/>
          <w:sz w:val="24"/>
        </w:rPr>
        <w:t>City–Metro Scale Sensitivity in Urban Traffic Performance: Temporal Evidence from Floating Car Data in Malaysian Cities</w:t>
      </w:r>
    </w:p>
    <w:p w14:paraId="36BCEF49" w14:textId="77777777" w:rsidR="00E42F89" w:rsidRPr="00670A78" w:rsidRDefault="00000000">
      <w:r w:rsidRPr="00670A78">
        <w:t>该标题比</w:t>
      </w:r>
      <w:r w:rsidRPr="00670A78">
        <w:t xml:space="preserve"> “Boundary Effects” </w:t>
      </w:r>
      <w:r w:rsidRPr="00670A78">
        <w:t>更安全，因为它不暗示你拥有</w:t>
      </w:r>
      <w:r w:rsidRPr="00670A78">
        <w:t xml:space="preserve"> TomTom </w:t>
      </w:r>
      <w:r w:rsidRPr="00670A78">
        <w:t>官方边界</w:t>
      </w:r>
      <w:r w:rsidRPr="00670A78">
        <w:t xml:space="preserve"> polygon</w:t>
      </w:r>
      <w:r w:rsidRPr="00670A78">
        <w:t>；同时它保留了</w:t>
      </w:r>
      <w:r w:rsidRPr="00670A78">
        <w:t xml:space="preserve"> city–metro</w:t>
      </w:r>
      <w:r w:rsidRPr="00670A78">
        <w:t>、</w:t>
      </w:r>
      <w:r w:rsidRPr="00670A78">
        <w:t>urban traffic performance</w:t>
      </w:r>
      <w:r w:rsidRPr="00670A78">
        <w:t>、</w:t>
      </w:r>
      <w:r w:rsidRPr="00670A78">
        <w:t xml:space="preserve">temporal evidence </w:t>
      </w:r>
      <w:r w:rsidRPr="00670A78">
        <w:t>和</w:t>
      </w:r>
      <w:r w:rsidRPr="00670A78">
        <w:t xml:space="preserve"> floating car data </w:t>
      </w:r>
      <w:r w:rsidRPr="00670A78">
        <w:t>四个关键信息。</w:t>
      </w:r>
    </w:p>
    <w:p w14:paraId="09349665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2.2 Alternative titles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670A78" w:rsidRPr="00670A78" w14:paraId="60AA8D7D" w14:textId="77777777">
        <w:trPr>
          <w:tblHeader/>
          <w:jc w:val="center"/>
        </w:trPr>
        <w:tc>
          <w:tcPr>
            <w:tcW w:w="3213" w:type="dxa"/>
            <w:shd w:val="clear" w:color="auto" w:fill="D9EAF7"/>
            <w:vAlign w:val="center"/>
          </w:tcPr>
          <w:p w14:paraId="417A501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Title option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0C608E4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适用场景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6F3F0B8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风险</w:t>
            </w:r>
          </w:p>
        </w:tc>
      </w:tr>
      <w:tr w:rsidR="00670A78" w:rsidRPr="00670A78" w14:paraId="22BC807E" w14:textId="77777777">
        <w:trPr>
          <w:jc w:val="center"/>
        </w:trPr>
        <w:tc>
          <w:tcPr>
            <w:tcW w:w="3213" w:type="dxa"/>
            <w:vAlign w:val="center"/>
          </w:tcPr>
          <w:p w14:paraId="0A02E50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City–Metro Scale Sensitivity in Platform-Based Urban Congestion Measurement: Evidence from Floating Car Data in Malaysian Cities</w:t>
            </w:r>
          </w:p>
        </w:tc>
        <w:tc>
          <w:tcPr>
            <w:tcW w:w="3213" w:type="dxa"/>
            <w:vAlign w:val="center"/>
          </w:tcPr>
          <w:p w14:paraId="2C19179C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最稳、</w:t>
            </w:r>
            <w:proofErr w:type="gramStart"/>
            <w:r w:rsidRPr="00670A78">
              <w:rPr>
                <w:sz w:val="16"/>
                <w:lang w:eastAsia="zh-CN"/>
              </w:rPr>
              <w:t>最</w:t>
            </w:r>
            <w:proofErr w:type="gramEnd"/>
            <w:r w:rsidRPr="00670A78">
              <w:rPr>
                <w:sz w:val="16"/>
                <w:lang w:eastAsia="zh-CN"/>
              </w:rPr>
              <w:t>方法论、最适合规避边界不可见问题。</w:t>
            </w:r>
          </w:p>
        </w:tc>
        <w:tc>
          <w:tcPr>
            <w:tcW w:w="3213" w:type="dxa"/>
            <w:vAlign w:val="center"/>
          </w:tcPr>
          <w:p w14:paraId="59AB7BE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 xml:space="preserve">Temporal heatmap </w:t>
            </w:r>
            <w:proofErr w:type="spellStart"/>
            <w:r w:rsidRPr="00670A78">
              <w:rPr>
                <w:sz w:val="16"/>
              </w:rPr>
              <w:t>数据的优势没有完全体现在题目中</w:t>
            </w:r>
            <w:proofErr w:type="spellEnd"/>
            <w:r w:rsidRPr="00670A78">
              <w:rPr>
                <w:sz w:val="16"/>
              </w:rPr>
              <w:t>。</w:t>
            </w:r>
          </w:p>
        </w:tc>
      </w:tr>
      <w:tr w:rsidR="00670A78" w:rsidRPr="00670A78" w14:paraId="0C6E3148" w14:textId="77777777">
        <w:trPr>
          <w:jc w:val="center"/>
        </w:trPr>
        <w:tc>
          <w:tcPr>
            <w:tcW w:w="3213" w:type="dxa"/>
            <w:vAlign w:val="center"/>
          </w:tcPr>
          <w:p w14:paraId="349A312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City–Metro Scale Sensitivity in Urban Traffic Performance: Temporal Evidence from Floating Car Data in Malaysian Cities</w:t>
            </w:r>
          </w:p>
        </w:tc>
        <w:tc>
          <w:tcPr>
            <w:tcW w:w="3213" w:type="dxa"/>
            <w:vAlign w:val="center"/>
          </w:tcPr>
          <w:p w14:paraId="1A5B59D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推荐最终标题；兼顾年度指标与</w:t>
            </w:r>
            <w:r w:rsidRPr="00670A78">
              <w:rPr>
                <w:sz w:val="16"/>
              </w:rPr>
              <w:t xml:space="preserve"> 24×7 driving-pattern matrices</w:t>
            </w:r>
            <w:r w:rsidRPr="00670A78">
              <w:rPr>
                <w:sz w:val="16"/>
              </w:rPr>
              <w:t>。</w:t>
            </w:r>
          </w:p>
        </w:tc>
        <w:tc>
          <w:tcPr>
            <w:tcW w:w="3213" w:type="dxa"/>
            <w:vAlign w:val="center"/>
          </w:tcPr>
          <w:p w14:paraId="3D915B73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题目稍长，但信息完整。</w:t>
            </w:r>
          </w:p>
        </w:tc>
      </w:tr>
      <w:tr w:rsidR="00670A78" w:rsidRPr="00670A78" w14:paraId="29EFB2CB" w14:textId="77777777">
        <w:trPr>
          <w:jc w:val="center"/>
        </w:trPr>
        <w:tc>
          <w:tcPr>
            <w:tcW w:w="3213" w:type="dxa"/>
            <w:vAlign w:val="center"/>
          </w:tcPr>
          <w:p w14:paraId="7A655D3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Boundary-Sensitive Urban Congestion Diagnosis Using Floating Car Data: A City–Metro Comparison of Malaysian Cities</w:t>
            </w:r>
          </w:p>
        </w:tc>
        <w:tc>
          <w:tcPr>
            <w:tcW w:w="3213" w:type="dxa"/>
            <w:vAlign w:val="center"/>
          </w:tcPr>
          <w:p w14:paraId="1DB5DA74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交通规划期刊容易理解。</w:t>
            </w:r>
          </w:p>
        </w:tc>
        <w:tc>
          <w:tcPr>
            <w:tcW w:w="3213" w:type="dxa"/>
            <w:vAlign w:val="center"/>
          </w:tcPr>
          <w:p w14:paraId="648A551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 xml:space="preserve">Boundary-sensitive </w:t>
            </w:r>
            <w:r w:rsidRPr="00670A78">
              <w:rPr>
                <w:sz w:val="16"/>
              </w:rPr>
              <w:t>可能被要求说明边界数据。</w:t>
            </w:r>
          </w:p>
        </w:tc>
      </w:tr>
      <w:tr w:rsidR="00670A78" w:rsidRPr="00670A78" w14:paraId="31435570" w14:textId="77777777">
        <w:trPr>
          <w:jc w:val="center"/>
        </w:trPr>
        <w:tc>
          <w:tcPr>
            <w:tcW w:w="3213" w:type="dxa"/>
            <w:vAlign w:val="center"/>
          </w:tcPr>
          <w:p w14:paraId="6BAAE23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How Spatial Scale Changes Urban Congestion Diagnosis: City–Metro Evidence from Floating Car Data</w:t>
            </w:r>
          </w:p>
        </w:tc>
        <w:tc>
          <w:tcPr>
            <w:tcW w:w="3213" w:type="dxa"/>
            <w:vAlign w:val="center"/>
          </w:tcPr>
          <w:p w14:paraId="15B67630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国际化、方法论感强。</w:t>
            </w:r>
          </w:p>
        </w:tc>
        <w:tc>
          <w:tcPr>
            <w:tcW w:w="3213" w:type="dxa"/>
            <w:vAlign w:val="center"/>
          </w:tcPr>
          <w:p w14:paraId="13E0C71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 xml:space="preserve">Malaysian case </w:t>
            </w:r>
            <w:r w:rsidRPr="00670A78">
              <w:rPr>
                <w:sz w:val="16"/>
              </w:rPr>
              <w:t>的完整样本优势没有直接体现。</w:t>
            </w:r>
          </w:p>
        </w:tc>
      </w:tr>
    </w:tbl>
    <w:p w14:paraId="7F318279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2.3 Manuscript positioning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670A78" w:rsidRPr="00670A78" w14:paraId="634039E5" w14:textId="77777777">
        <w:trPr>
          <w:tblHeader/>
          <w:jc w:val="center"/>
        </w:trPr>
        <w:tc>
          <w:tcPr>
            <w:tcW w:w="3213" w:type="dxa"/>
            <w:shd w:val="clear" w:color="auto" w:fill="D9EAF7"/>
            <w:vAlign w:val="center"/>
          </w:tcPr>
          <w:p w14:paraId="2967658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不要这样写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7EAEB26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应该这样写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0EFEE26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原因</w:t>
            </w:r>
          </w:p>
        </w:tc>
      </w:tr>
      <w:tr w:rsidR="00670A78" w:rsidRPr="00670A78" w14:paraId="7E4481E4" w14:textId="77777777">
        <w:trPr>
          <w:jc w:val="center"/>
        </w:trPr>
        <w:tc>
          <w:tcPr>
            <w:tcW w:w="3213" w:type="dxa"/>
            <w:vAlign w:val="center"/>
          </w:tcPr>
          <w:p w14:paraId="31F9F40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A ranking of Malaysian cities by congestion</w:t>
            </w:r>
          </w:p>
        </w:tc>
        <w:tc>
          <w:tcPr>
            <w:tcW w:w="3213" w:type="dxa"/>
            <w:vAlign w:val="center"/>
          </w:tcPr>
          <w:p w14:paraId="5D13E20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A scale-sensitivity assessment of platform-reported traffic indicators</w:t>
            </w:r>
          </w:p>
        </w:tc>
        <w:tc>
          <w:tcPr>
            <w:tcW w:w="3213" w:type="dxa"/>
            <w:vAlign w:val="center"/>
          </w:tcPr>
          <w:p w14:paraId="5ED3CBF6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避免变成浅层排名文章。</w:t>
            </w:r>
          </w:p>
        </w:tc>
      </w:tr>
      <w:tr w:rsidR="00670A78" w:rsidRPr="00670A78" w14:paraId="01783477" w14:textId="77777777">
        <w:trPr>
          <w:jc w:val="center"/>
        </w:trPr>
        <w:tc>
          <w:tcPr>
            <w:tcW w:w="3213" w:type="dxa"/>
            <w:vAlign w:val="center"/>
          </w:tcPr>
          <w:p w14:paraId="25380CC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A causal analysis of why Johor Bahru is congested</w:t>
            </w:r>
          </w:p>
        </w:tc>
        <w:tc>
          <w:tcPr>
            <w:tcW w:w="3213" w:type="dxa"/>
            <w:vAlign w:val="center"/>
          </w:tcPr>
          <w:p w14:paraId="724E049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An exploratory diagnostic study of city–metro differences</w:t>
            </w:r>
          </w:p>
        </w:tc>
        <w:tc>
          <w:tcPr>
            <w:tcW w:w="3213" w:type="dxa"/>
            <w:vAlign w:val="center"/>
          </w:tcPr>
          <w:p w14:paraId="3612920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数据不支持强因果。</w:t>
            </w:r>
          </w:p>
        </w:tc>
      </w:tr>
      <w:tr w:rsidR="00670A78" w:rsidRPr="00670A78" w14:paraId="7C079737" w14:textId="77777777">
        <w:trPr>
          <w:jc w:val="center"/>
        </w:trPr>
        <w:tc>
          <w:tcPr>
            <w:tcW w:w="3213" w:type="dxa"/>
            <w:vAlign w:val="center"/>
          </w:tcPr>
          <w:p w14:paraId="7B81759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 xml:space="preserve">Exact boundary effects of TomTom city and </w:t>
            </w:r>
            <w:r w:rsidRPr="00670A78">
              <w:rPr>
                <w:sz w:val="16"/>
              </w:rPr>
              <w:lastRenderedPageBreak/>
              <w:t>metro polygons</w:t>
            </w:r>
          </w:p>
        </w:tc>
        <w:tc>
          <w:tcPr>
            <w:tcW w:w="3213" w:type="dxa"/>
            <w:vAlign w:val="center"/>
          </w:tcPr>
          <w:p w14:paraId="308A3E0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lastRenderedPageBreak/>
              <w:t xml:space="preserve">Reported city-scale and metro-scale indicator </w:t>
            </w:r>
            <w:r w:rsidRPr="00670A78">
              <w:rPr>
                <w:sz w:val="16"/>
              </w:rPr>
              <w:lastRenderedPageBreak/>
              <w:t>comparison</w:t>
            </w:r>
          </w:p>
        </w:tc>
        <w:tc>
          <w:tcPr>
            <w:tcW w:w="3213" w:type="dxa"/>
            <w:vAlign w:val="center"/>
          </w:tcPr>
          <w:p w14:paraId="427ACC9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lastRenderedPageBreak/>
              <w:t>没有</w:t>
            </w:r>
            <w:r w:rsidRPr="00670A78">
              <w:rPr>
                <w:sz w:val="16"/>
              </w:rPr>
              <w:t xml:space="preserve"> TomTom </w:t>
            </w:r>
            <w:r w:rsidRPr="00670A78">
              <w:rPr>
                <w:sz w:val="16"/>
              </w:rPr>
              <w:t>官方边界</w:t>
            </w:r>
            <w:r w:rsidRPr="00670A78">
              <w:rPr>
                <w:sz w:val="16"/>
              </w:rPr>
              <w:t xml:space="preserve"> polygon</w:t>
            </w:r>
            <w:r w:rsidRPr="00670A78">
              <w:rPr>
                <w:sz w:val="16"/>
              </w:rPr>
              <w:t>。</w:t>
            </w:r>
          </w:p>
        </w:tc>
      </w:tr>
      <w:tr w:rsidR="00670A78" w:rsidRPr="00670A78" w14:paraId="6C14417D" w14:textId="77777777">
        <w:trPr>
          <w:jc w:val="center"/>
        </w:trPr>
        <w:tc>
          <w:tcPr>
            <w:tcW w:w="3213" w:type="dxa"/>
            <w:vAlign w:val="center"/>
          </w:tcPr>
          <w:p w14:paraId="4A411B6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TomTom accurately measures true congestion</w:t>
            </w:r>
          </w:p>
        </w:tc>
        <w:tc>
          <w:tcPr>
            <w:tcW w:w="3213" w:type="dxa"/>
            <w:vAlign w:val="center"/>
          </w:tcPr>
          <w:p w14:paraId="3EC62DF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TomTom provides platform-reported comparative indicators</w:t>
            </w:r>
          </w:p>
        </w:tc>
        <w:tc>
          <w:tcPr>
            <w:tcW w:w="3213" w:type="dxa"/>
            <w:vAlign w:val="center"/>
          </w:tcPr>
          <w:p w14:paraId="53DD4E5E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没有地面检测器验证。</w:t>
            </w:r>
          </w:p>
        </w:tc>
      </w:tr>
    </w:tbl>
    <w:p w14:paraId="60215457" w14:textId="77777777" w:rsidR="00E42F89" w:rsidRPr="00670A78" w:rsidRDefault="00000000">
      <w:pPr>
        <w:pStyle w:val="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3. Research gap, objectives, questions and contributions</w:t>
      </w:r>
    </w:p>
    <w:p w14:paraId="79AD783A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3.1 Research gap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670A78" w:rsidRPr="00670A78" w14:paraId="3C0DE734" w14:textId="77777777">
        <w:trPr>
          <w:tblHeader/>
          <w:jc w:val="center"/>
        </w:trPr>
        <w:tc>
          <w:tcPr>
            <w:tcW w:w="3213" w:type="dxa"/>
            <w:shd w:val="clear" w:color="auto" w:fill="D9EAF7"/>
            <w:vAlign w:val="center"/>
          </w:tcPr>
          <w:p w14:paraId="0EEA351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Gap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4A04970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具体内容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2D233DF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本研究如何回应</w:t>
            </w:r>
          </w:p>
        </w:tc>
      </w:tr>
      <w:tr w:rsidR="00670A78" w:rsidRPr="00670A78" w14:paraId="4F787603" w14:textId="77777777">
        <w:trPr>
          <w:jc w:val="center"/>
        </w:trPr>
        <w:tc>
          <w:tcPr>
            <w:tcW w:w="3213" w:type="dxa"/>
            <w:vAlign w:val="center"/>
          </w:tcPr>
          <w:p w14:paraId="7C6B9CF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Gap 1: single-scale ranking</w:t>
            </w:r>
          </w:p>
        </w:tc>
        <w:tc>
          <w:tcPr>
            <w:tcW w:w="3213" w:type="dxa"/>
            <w:vAlign w:val="center"/>
          </w:tcPr>
          <w:p w14:paraId="477293B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既有城市交通基准常直接使用</w:t>
            </w:r>
            <w:r w:rsidRPr="00670A78">
              <w:rPr>
                <w:sz w:val="16"/>
              </w:rPr>
              <w:t xml:space="preserve"> city ranking </w:t>
            </w:r>
            <w:r w:rsidRPr="00670A78">
              <w:rPr>
                <w:sz w:val="16"/>
              </w:rPr>
              <w:t>或</w:t>
            </w:r>
            <w:r w:rsidRPr="00670A78">
              <w:rPr>
                <w:sz w:val="16"/>
              </w:rPr>
              <w:t xml:space="preserve"> annual congestion level</w:t>
            </w:r>
            <w:r w:rsidRPr="00670A78">
              <w:rPr>
                <w:sz w:val="16"/>
              </w:rPr>
              <w:t>，较少检验同一城市在</w:t>
            </w:r>
            <w:r w:rsidRPr="00670A78">
              <w:rPr>
                <w:sz w:val="16"/>
              </w:rPr>
              <w:t xml:space="preserve"> City </w:t>
            </w:r>
            <w:r w:rsidRPr="00670A78">
              <w:rPr>
                <w:sz w:val="16"/>
              </w:rPr>
              <w:t>与</w:t>
            </w:r>
            <w:r w:rsidRPr="00670A78">
              <w:rPr>
                <w:sz w:val="16"/>
              </w:rPr>
              <w:t xml:space="preserve"> Metro </w:t>
            </w:r>
            <w:r w:rsidRPr="00670A78">
              <w:rPr>
                <w:sz w:val="16"/>
              </w:rPr>
              <w:t>下是否稳定。</w:t>
            </w:r>
          </w:p>
        </w:tc>
        <w:tc>
          <w:tcPr>
            <w:tcW w:w="3213" w:type="dxa"/>
            <w:vAlign w:val="center"/>
          </w:tcPr>
          <w:p w14:paraId="1199AC6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构建</w:t>
            </w:r>
            <w:r w:rsidRPr="00670A78">
              <w:rPr>
                <w:sz w:val="16"/>
              </w:rPr>
              <w:t xml:space="preserve"> City–Metro paired dataset</w:t>
            </w:r>
            <w:r w:rsidRPr="00670A78">
              <w:rPr>
                <w:sz w:val="16"/>
              </w:rPr>
              <w:t>，直接比较同一城市双尺度指标。</w:t>
            </w:r>
          </w:p>
        </w:tc>
      </w:tr>
      <w:tr w:rsidR="00670A78" w:rsidRPr="00670A78" w14:paraId="3EDA7F0B" w14:textId="77777777">
        <w:trPr>
          <w:jc w:val="center"/>
        </w:trPr>
        <w:tc>
          <w:tcPr>
            <w:tcW w:w="3213" w:type="dxa"/>
            <w:vAlign w:val="center"/>
          </w:tcPr>
          <w:p w14:paraId="5B54359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Gap 2: weak measurement diagnosis</w:t>
            </w:r>
          </w:p>
        </w:tc>
        <w:tc>
          <w:tcPr>
            <w:tcW w:w="3213" w:type="dxa"/>
            <w:vAlign w:val="center"/>
          </w:tcPr>
          <w:p w14:paraId="4897EBC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多数研究报告</w:t>
            </w:r>
            <w:r w:rsidRPr="00670A78">
              <w:rPr>
                <w:sz w:val="16"/>
              </w:rPr>
              <w:t xml:space="preserve"> congestion</w:t>
            </w:r>
            <w:r w:rsidRPr="00670A78">
              <w:rPr>
                <w:sz w:val="16"/>
              </w:rPr>
              <w:t>、</w:t>
            </w:r>
            <w:r w:rsidRPr="00670A78">
              <w:rPr>
                <w:sz w:val="16"/>
              </w:rPr>
              <w:t>speed</w:t>
            </w:r>
            <w:r w:rsidRPr="00670A78">
              <w:rPr>
                <w:sz w:val="16"/>
              </w:rPr>
              <w:t>、</w:t>
            </w:r>
            <w:r w:rsidRPr="00670A78">
              <w:rPr>
                <w:sz w:val="16"/>
              </w:rPr>
              <w:t>TT10</w:t>
            </w:r>
            <w:r w:rsidRPr="00670A78">
              <w:rPr>
                <w:sz w:val="16"/>
              </w:rPr>
              <w:t>，但较少分析指标之间的尺度敏感性差异。</w:t>
            </w:r>
          </w:p>
        </w:tc>
        <w:tc>
          <w:tcPr>
            <w:tcW w:w="3213" w:type="dxa"/>
            <w:vAlign w:val="center"/>
          </w:tcPr>
          <w:p w14:paraId="073CB43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提出</w:t>
            </w:r>
            <w:r w:rsidRPr="00670A78">
              <w:rPr>
                <w:sz w:val="16"/>
              </w:rPr>
              <w:t xml:space="preserve"> gap</w:t>
            </w:r>
            <w:r w:rsidRPr="00670A78">
              <w:rPr>
                <w:sz w:val="16"/>
              </w:rPr>
              <w:t>、</w:t>
            </w:r>
            <w:r w:rsidRPr="00670A78">
              <w:rPr>
                <w:sz w:val="16"/>
              </w:rPr>
              <w:t>ratio</w:t>
            </w:r>
            <w:r w:rsidRPr="00670A78">
              <w:rPr>
                <w:sz w:val="16"/>
              </w:rPr>
              <w:t>、</w:t>
            </w:r>
            <w:r w:rsidRPr="00670A78">
              <w:rPr>
                <w:sz w:val="16"/>
              </w:rPr>
              <w:t xml:space="preserve">normalised difference </w:t>
            </w:r>
            <w:r w:rsidRPr="00670A78">
              <w:rPr>
                <w:sz w:val="16"/>
              </w:rPr>
              <w:t>和</w:t>
            </w:r>
            <w:r w:rsidRPr="00670A78">
              <w:rPr>
                <w:sz w:val="16"/>
              </w:rPr>
              <w:t xml:space="preserve"> indicator sensitivity index</w:t>
            </w:r>
            <w:r w:rsidRPr="00670A78">
              <w:rPr>
                <w:sz w:val="16"/>
              </w:rPr>
              <w:t>。</w:t>
            </w:r>
          </w:p>
        </w:tc>
      </w:tr>
      <w:tr w:rsidR="00670A78" w:rsidRPr="00670A78" w14:paraId="08C91017" w14:textId="77777777">
        <w:trPr>
          <w:jc w:val="center"/>
        </w:trPr>
        <w:tc>
          <w:tcPr>
            <w:tcW w:w="3213" w:type="dxa"/>
            <w:vAlign w:val="center"/>
          </w:tcPr>
          <w:p w14:paraId="5F48936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Gap 3: ranking instability under spatial scale</w:t>
            </w:r>
          </w:p>
        </w:tc>
        <w:tc>
          <w:tcPr>
            <w:tcW w:w="3213" w:type="dxa"/>
            <w:vAlign w:val="center"/>
          </w:tcPr>
          <w:p w14:paraId="7E4B980D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城市排名常被直接用于比较，但排名是否随空间尺度变化并未被充分检验。</w:t>
            </w:r>
          </w:p>
        </w:tc>
        <w:tc>
          <w:tcPr>
            <w:tcW w:w="3213" w:type="dxa"/>
            <w:vAlign w:val="center"/>
          </w:tcPr>
          <w:p w14:paraId="35152F6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计算</w:t>
            </w:r>
            <w:r w:rsidRPr="00670A78">
              <w:rPr>
                <w:sz w:val="16"/>
              </w:rPr>
              <w:t xml:space="preserve"> rank difference</w:t>
            </w:r>
            <w:r w:rsidRPr="00670A78">
              <w:rPr>
                <w:sz w:val="16"/>
              </w:rPr>
              <w:t>、</w:t>
            </w:r>
            <w:r w:rsidRPr="00670A78">
              <w:rPr>
                <w:sz w:val="16"/>
              </w:rPr>
              <w:t>absolute rank shift</w:t>
            </w:r>
            <w:r w:rsidRPr="00670A78">
              <w:rPr>
                <w:sz w:val="16"/>
              </w:rPr>
              <w:t>、</w:t>
            </w:r>
            <w:r w:rsidRPr="00670A78">
              <w:rPr>
                <w:sz w:val="16"/>
              </w:rPr>
              <w:t xml:space="preserve">Spearman rho </w:t>
            </w:r>
            <w:r w:rsidRPr="00670A78">
              <w:rPr>
                <w:sz w:val="16"/>
              </w:rPr>
              <w:t>和</w:t>
            </w:r>
            <w:r w:rsidRPr="00670A78">
              <w:rPr>
                <w:sz w:val="16"/>
              </w:rPr>
              <w:t xml:space="preserve"> Kendall tau</w:t>
            </w:r>
            <w:r w:rsidRPr="00670A78">
              <w:rPr>
                <w:sz w:val="16"/>
              </w:rPr>
              <w:t>。</w:t>
            </w:r>
          </w:p>
        </w:tc>
      </w:tr>
      <w:tr w:rsidR="00670A78" w:rsidRPr="00670A78" w14:paraId="6629442B" w14:textId="77777777">
        <w:trPr>
          <w:jc w:val="center"/>
        </w:trPr>
        <w:tc>
          <w:tcPr>
            <w:tcW w:w="3213" w:type="dxa"/>
            <w:vAlign w:val="center"/>
          </w:tcPr>
          <w:p w14:paraId="247AEB4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Gap 4: limited temporal scale evidence</w:t>
            </w:r>
          </w:p>
        </w:tc>
        <w:tc>
          <w:tcPr>
            <w:tcW w:w="3213" w:type="dxa"/>
            <w:vAlign w:val="center"/>
          </w:tcPr>
          <w:p w14:paraId="1AA0704A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年度指标无法揭示高峰、周内节律和时段差异。</w:t>
            </w:r>
          </w:p>
        </w:tc>
        <w:tc>
          <w:tcPr>
            <w:tcW w:w="3213" w:type="dxa"/>
            <w:vAlign w:val="center"/>
          </w:tcPr>
          <w:p w14:paraId="18007F8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利用</w:t>
            </w:r>
            <w:r w:rsidRPr="00670A78">
              <w:rPr>
                <w:sz w:val="16"/>
              </w:rPr>
              <w:t xml:space="preserve"> 24×7 driving-pattern matrices </w:t>
            </w:r>
            <w:r w:rsidRPr="00670A78">
              <w:rPr>
                <w:sz w:val="16"/>
              </w:rPr>
              <w:t>计算</w:t>
            </w:r>
            <w:r w:rsidRPr="00670A78">
              <w:rPr>
                <w:sz w:val="16"/>
              </w:rPr>
              <w:t xml:space="preserve"> AM/PM gap</w:t>
            </w:r>
            <w:r w:rsidRPr="00670A78">
              <w:rPr>
                <w:sz w:val="16"/>
              </w:rPr>
              <w:t>、</w:t>
            </w:r>
            <w:r w:rsidRPr="00670A78">
              <w:rPr>
                <w:sz w:val="16"/>
              </w:rPr>
              <w:t xml:space="preserve">weekly rhythm </w:t>
            </w:r>
            <w:r w:rsidRPr="00670A78">
              <w:rPr>
                <w:sz w:val="16"/>
              </w:rPr>
              <w:t>和</w:t>
            </w:r>
            <w:r w:rsidRPr="00670A78">
              <w:rPr>
                <w:sz w:val="16"/>
              </w:rPr>
              <w:t xml:space="preserve"> difference heatmap</w:t>
            </w:r>
            <w:r w:rsidRPr="00670A78">
              <w:rPr>
                <w:sz w:val="16"/>
              </w:rPr>
              <w:t>。</w:t>
            </w:r>
          </w:p>
        </w:tc>
      </w:tr>
    </w:tbl>
    <w:p w14:paraId="58291590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3.2 Research objectives</w:t>
      </w:r>
    </w:p>
    <w:p w14:paraId="3B2D1D63" w14:textId="77777777" w:rsidR="00E42F89" w:rsidRPr="00670A78" w:rsidRDefault="00000000">
      <w:pPr>
        <w:pStyle w:val="a"/>
      </w:pPr>
      <w:r w:rsidRPr="00670A78">
        <w:t>Quantify city–metro differences in annual congestion, travel time, speed, distance driven, highway ratio and highway speed.</w:t>
      </w:r>
    </w:p>
    <w:p w14:paraId="4CCD4444" w14:textId="77777777" w:rsidR="00E42F89" w:rsidRPr="00670A78" w:rsidRDefault="00000000">
      <w:pPr>
        <w:pStyle w:val="a"/>
      </w:pPr>
      <w:r w:rsidRPr="00670A78">
        <w:t>Assess which traffic-performance indicators are most sensitive to the city–metro scale change.</w:t>
      </w:r>
    </w:p>
    <w:p w14:paraId="79C0D4B8" w14:textId="77777777" w:rsidR="00E42F89" w:rsidRPr="00670A78" w:rsidRDefault="00000000">
      <w:pPr>
        <w:pStyle w:val="a"/>
      </w:pPr>
      <w:r w:rsidRPr="00670A78">
        <w:t>Evaluate whether city-scale and metro-scale rankings of Malaysian cities are stable or unstable.</w:t>
      </w:r>
    </w:p>
    <w:p w14:paraId="75AD85E2" w14:textId="77777777" w:rsidR="00E42F89" w:rsidRPr="00670A78" w:rsidRDefault="00000000">
      <w:pPr>
        <w:pStyle w:val="a"/>
      </w:pPr>
      <w:r w:rsidRPr="00670A78">
        <w:t>Measure temporal differences between City and Metro using 24×7 travel time, congestion and speed matrices.</w:t>
      </w:r>
    </w:p>
    <w:p w14:paraId="1CF636CD" w14:textId="77777777" w:rsidR="00E42F89" w:rsidRPr="00670A78" w:rsidRDefault="00000000">
      <w:pPr>
        <w:pStyle w:val="a"/>
      </w:pPr>
      <w:r w:rsidRPr="00670A78">
        <w:t>Develop an exploratory city typology that distinguishes core-dominant congestion, metro-wide mobility burden and scale-stable traffic conditions.</w:t>
      </w:r>
    </w:p>
    <w:p w14:paraId="2CA10827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3.3 Research questions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70A78" w:rsidRPr="00670A78" w14:paraId="3B9A023B" w14:textId="77777777">
        <w:trPr>
          <w:tblHeader/>
          <w:jc w:val="center"/>
        </w:trPr>
        <w:tc>
          <w:tcPr>
            <w:tcW w:w="3213" w:type="dxa"/>
            <w:shd w:val="clear" w:color="auto" w:fill="D9EAF7"/>
            <w:vAlign w:val="center"/>
          </w:tcPr>
          <w:p w14:paraId="38C2840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RQ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1950D64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Question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4D39C07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对应分析</w:t>
            </w:r>
          </w:p>
        </w:tc>
      </w:tr>
      <w:tr w:rsidR="00670A78" w:rsidRPr="00670A78" w14:paraId="797C8319" w14:textId="77777777">
        <w:trPr>
          <w:jc w:val="center"/>
        </w:trPr>
        <w:tc>
          <w:tcPr>
            <w:tcW w:w="3213" w:type="dxa"/>
            <w:vAlign w:val="center"/>
          </w:tcPr>
          <w:p w14:paraId="1E54593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RQ1</w:t>
            </w:r>
          </w:p>
        </w:tc>
        <w:tc>
          <w:tcPr>
            <w:tcW w:w="3213" w:type="dxa"/>
            <w:vAlign w:val="center"/>
          </w:tcPr>
          <w:p w14:paraId="24EF6D4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Do city-scale and metro-scale indicators produce different traffic-performance assessments for the same Malaysian cities?</w:t>
            </w:r>
          </w:p>
        </w:tc>
        <w:tc>
          <w:tcPr>
            <w:tcW w:w="3213" w:type="dxa"/>
            <w:vAlign w:val="center"/>
          </w:tcPr>
          <w:p w14:paraId="103FC53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Annual gap, ratio and normalised difference.</w:t>
            </w:r>
          </w:p>
        </w:tc>
      </w:tr>
      <w:tr w:rsidR="00670A78" w:rsidRPr="00670A78" w14:paraId="6FC29D9C" w14:textId="77777777">
        <w:trPr>
          <w:jc w:val="center"/>
        </w:trPr>
        <w:tc>
          <w:tcPr>
            <w:tcW w:w="3213" w:type="dxa"/>
            <w:vAlign w:val="center"/>
          </w:tcPr>
          <w:p w14:paraId="38BE4CE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RQ2</w:t>
            </w:r>
          </w:p>
        </w:tc>
        <w:tc>
          <w:tcPr>
            <w:tcW w:w="3213" w:type="dxa"/>
            <w:vAlign w:val="center"/>
          </w:tcPr>
          <w:p w14:paraId="7799B08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Which indicators are most sensitive to the city–metro scale change?</w:t>
            </w:r>
          </w:p>
        </w:tc>
        <w:tc>
          <w:tcPr>
            <w:tcW w:w="3213" w:type="dxa"/>
            <w:vAlign w:val="center"/>
          </w:tcPr>
          <w:p w14:paraId="5E153C9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Indicator sensitivity index and mean absolute normalised difference.</w:t>
            </w:r>
          </w:p>
        </w:tc>
      </w:tr>
      <w:tr w:rsidR="00670A78" w:rsidRPr="00670A78" w14:paraId="4CFE5BFC" w14:textId="77777777">
        <w:trPr>
          <w:jc w:val="center"/>
        </w:trPr>
        <w:tc>
          <w:tcPr>
            <w:tcW w:w="3213" w:type="dxa"/>
            <w:vAlign w:val="center"/>
          </w:tcPr>
          <w:p w14:paraId="1825565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RQ3</w:t>
            </w:r>
          </w:p>
        </w:tc>
        <w:tc>
          <w:tcPr>
            <w:tcW w:w="3213" w:type="dxa"/>
            <w:vAlign w:val="center"/>
          </w:tcPr>
          <w:p w14:paraId="6B6D49F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Does the city–metro scale change alter the ranking of Malaysian cities?</w:t>
            </w:r>
          </w:p>
        </w:tc>
        <w:tc>
          <w:tcPr>
            <w:tcW w:w="3213" w:type="dxa"/>
            <w:vAlign w:val="center"/>
          </w:tcPr>
          <w:p w14:paraId="5ABAD80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Rank difference, absolute rank shift, Spearman rho and Kendall tau.</w:t>
            </w:r>
          </w:p>
        </w:tc>
      </w:tr>
      <w:tr w:rsidR="00670A78" w:rsidRPr="00670A78" w14:paraId="2D1DDEE6" w14:textId="77777777">
        <w:trPr>
          <w:jc w:val="center"/>
        </w:trPr>
        <w:tc>
          <w:tcPr>
            <w:tcW w:w="3213" w:type="dxa"/>
            <w:vAlign w:val="center"/>
          </w:tcPr>
          <w:p w14:paraId="551BAB6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RQ4</w:t>
            </w:r>
          </w:p>
        </w:tc>
        <w:tc>
          <w:tcPr>
            <w:tcW w:w="3213" w:type="dxa"/>
            <w:vAlign w:val="center"/>
          </w:tcPr>
          <w:p w14:paraId="218BC55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Do city–metro differences vary by time of day and day of week?</w:t>
            </w:r>
          </w:p>
        </w:tc>
        <w:tc>
          <w:tcPr>
            <w:tcW w:w="3213" w:type="dxa"/>
            <w:vAlign w:val="center"/>
          </w:tcPr>
          <w:p w14:paraId="0A1D9D0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24×7 temporal difference heatmaps and AM/PM peak-gap metrics.</w:t>
            </w:r>
          </w:p>
        </w:tc>
      </w:tr>
      <w:tr w:rsidR="00670A78" w:rsidRPr="00670A78" w14:paraId="1C1EF666" w14:textId="77777777">
        <w:trPr>
          <w:jc w:val="center"/>
        </w:trPr>
        <w:tc>
          <w:tcPr>
            <w:tcW w:w="3213" w:type="dxa"/>
            <w:vAlign w:val="center"/>
          </w:tcPr>
          <w:p w14:paraId="6DFCF0B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RQ5</w:t>
            </w:r>
          </w:p>
        </w:tc>
        <w:tc>
          <w:tcPr>
            <w:tcW w:w="3213" w:type="dxa"/>
            <w:vAlign w:val="center"/>
          </w:tcPr>
          <w:p w14:paraId="1BABDAE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Can road-network and urban-context indicators help interpret the observed scale sensitivity?</w:t>
            </w:r>
          </w:p>
        </w:tc>
        <w:tc>
          <w:tcPr>
            <w:tcW w:w="3213" w:type="dxa"/>
            <w:vAlign w:val="center"/>
          </w:tcPr>
          <w:p w14:paraId="2AF88BF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OSM road density, intersection density, high-capacity share and background variables as contextual descriptors.</w:t>
            </w:r>
          </w:p>
        </w:tc>
      </w:tr>
    </w:tbl>
    <w:p w14:paraId="6ADF7534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3.4 Contributions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670A78" w:rsidRPr="00670A78" w14:paraId="275242E0" w14:textId="77777777">
        <w:trPr>
          <w:tblHeader/>
          <w:jc w:val="center"/>
        </w:trPr>
        <w:tc>
          <w:tcPr>
            <w:tcW w:w="3213" w:type="dxa"/>
            <w:shd w:val="clear" w:color="auto" w:fill="D9EAF7"/>
            <w:vAlign w:val="center"/>
          </w:tcPr>
          <w:p w14:paraId="19A0370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Contribution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326C4AE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可写入论文的表达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7F81882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强度控制</w:t>
            </w:r>
          </w:p>
        </w:tc>
      </w:tr>
      <w:tr w:rsidR="00670A78" w:rsidRPr="00670A78" w14:paraId="64D2D47E" w14:textId="77777777">
        <w:trPr>
          <w:jc w:val="center"/>
        </w:trPr>
        <w:tc>
          <w:tcPr>
            <w:tcW w:w="3213" w:type="dxa"/>
            <w:vAlign w:val="center"/>
          </w:tcPr>
          <w:p w14:paraId="19DC501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C1: conceptual contribution</w:t>
            </w:r>
          </w:p>
        </w:tc>
        <w:tc>
          <w:tcPr>
            <w:tcW w:w="3213" w:type="dxa"/>
            <w:vAlign w:val="center"/>
          </w:tcPr>
          <w:p w14:paraId="33F9252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This study reframes platform-based congestion benchmarking as a scale-sensitive measurement problem rather than a simple ranking exercise.</w:t>
            </w:r>
          </w:p>
        </w:tc>
        <w:tc>
          <w:tcPr>
            <w:tcW w:w="3213" w:type="dxa"/>
            <w:vAlign w:val="center"/>
          </w:tcPr>
          <w:p w14:paraId="7811FAE3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强。属于文章主创新。</w:t>
            </w:r>
          </w:p>
        </w:tc>
      </w:tr>
      <w:tr w:rsidR="00670A78" w:rsidRPr="00670A78" w14:paraId="3E149802" w14:textId="77777777">
        <w:trPr>
          <w:jc w:val="center"/>
        </w:trPr>
        <w:tc>
          <w:tcPr>
            <w:tcW w:w="3213" w:type="dxa"/>
            <w:vAlign w:val="center"/>
          </w:tcPr>
          <w:p w14:paraId="072ED3B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C2: methodological contribution</w:t>
            </w:r>
          </w:p>
        </w:tc>
        <w:tc>
          <w:tcPr>
            <w:tcW w:w="3213" w:type="dxa"/>
            <w:vAlign w:val="center"/>
          </w:tcPr>
          <w:p w14:paraId="2A7C190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It develops a city–metro paired diagnostic framework using gaps, scaling ratios, normalised differences and agreement analysis.</w:t>
            </w:r>
          </w:p>
        </w:tc>
        <w:tc>
          <w:tcPr>
            <w:tcW w:w="3213" w:type="dxa"/>
            <w:vAlign w:val="center"/>
          </w:tcPr>
          <w:p w14:paraId="75D9C2D7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强。方法清楚、可复现。</w:t>
            </w:r>
          </w:p>
        </w:tc>
      </w:tr>
      <w:tr w:rsidR="00670A78" w:rsidRPr="00670A78" w14:paraId="65D05FAD" w14:textId="77777777">
        <w:trPr>
          <w:jc w:val="center"/>
        </w:trPr>
        <w:tc>
          <w:tcPr>
            <w:tcW w:w="3213" w:type="dxa"/>
            <w:vAlign w:val="center"/>
          </w:tcPr>
          <w:p w14:paraId="37185FC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C3: ranking contribution</w:t>
            </w:r>
          </w:p>
        </w:tc>
        <w:tc>
          <w:tcPr>
            <w:tcW w:w="3213" w:type="dxa"/>
            <w:vAlign w:val="center"/>
          </w:tcPr>
          <w:p w14:paraId="3D1EB04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It introduces ranking instability as direct evidence that city-only and metro-only benchmarks may lead to different comparative conclusions.</w:t>
            </w:r>
          </w:p>
        </w:tc>
        <w:tc>
          <w:tcPr>
            <w:tcW w:w="3213" w:type="dxa"/>
            <w:vAlign w:val="center"/>
          </w:tcPr>
          <w:p w14:paraId="5D5D77F8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强。容易被审稿人理解。</w:t>
            </w:r>
          </w:p>
        </w:tc>
      </w:tr>
      <w:tr w:rsidR="00670A78" w:rsidRPr="00670A78" w14:paraId="16997D13" w14:textId="77777777">
        <w:trPr>
          <w:jc w:val="center"/>
        </w:trPr>
        <w:tc>
          <w:tcPr>
            <w:tcW w:w="3213" w:type="dxa"/>
            <w:vAlign w:val="center"/>
          </w:tcPr>
          <w:p w14:paraId="05F34FF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C4: temporal contribution</w:t>
            </w:r>
          </w:p>
        </w:tc>
        <w:tc>
          <w:tcPr>
            <w:tcW w:w="3213" w:type="dxa"/>
            <w:vAlign w:val="center"/>
          </w:tcPr>
          <w:p w14:paraId="62502BB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It uses 24×7 driving-pattern matrices to examine AM/PM peak gaps, weekly rhythm and time-of-day scale sensitivity.</w:t>
            </w:r>
          </w:p>
        </w:tc>
        <w:tc>
          <w:tcPr>
            <w:tcW w:w="3213" w:type="dxa"/>
            <w:vAlign w:val="center"/>
          </w:tcPr>
          <w:p w14:paraId="38AB16E1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中强。取决于热力图数据完整度。</w:t>
            </w:r>
          </w:p>
        </w:tc>
      </w:tr>
      <w:tr w:rsidR="00670A78" w:rsidRPr="00670A78" w14:paraId="13C74663" w14:textId="77777777">
        <w:trPr>
          <w:jc w:val="center"/>
        </w:trPr>
        <w:tc>
          <w:tcPr>
            <w:tcW w:w="3213" w:type="dxa"/>
            <w:vAlign w:val="center"/>
          </w:tcPr>
          <w:p w14:paraId="195FF26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C5: planning contribution</w:t>
            </w:r>
          </w:p>
        </w:tc>
        <w:tc>
          <w:tcPr>
            <w:tcW w:w="3213" w:type="dxa"/>
            <w:vAlign w:val="center"/>
          </w:tcPr>
          <w:p w14:paraId="10E2611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It distinguishes core-dominant congestion, metro-wide mobility burden and scale-stable traffic conditions for diagnostic planning use.</w:t>
            </w:r>
          </w:p>
        </w:tc>
        <w:tc>
          <w:tcPr>
            <w:tcW w:w="3213" w:type="dxa"/>
            <w:vAlign w:val="center"/>
          </w:tcPr>
          <w:p w14:paraId="57B3476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中。必须写</w:t>
            </w:r>
            <w:r w:rsidRPr="00670A78">
              <w:rPr>
                <w:sz w:val="16"/>
              </w:rPr>
              <w:t xml:space="preserve"> exploratory</w:t>
            </w:r>
            <w:r w:rsidRPr="00670A78">
              <w:rPr>
                <w:sz w:val="16"/>
              </w:rPr>
              <w:t>，不写</w:t>
            </w:r>
            <w:r w:rsidRPr="00670A78">
              <w:rPr>
                <w:sz w:val="16"/>
              </w:rPr>
              <w:t xml:space="preserve"> causal typology</w:t>
            </w:r>
            <w:r w:rsidRPr="00670A78">
              <w:rPr>
                <w:sz w:val="16"/>
              </w:rPr>
              <w:t>。</w:t>
            </w:r>
          </w:p>
        </w:tc>
      </w:tr>
    </w:tbl>
    <w:p w14:paraId="5EE40321" w14:textId="77777777" w:rsidR="00E42F89" w:rsidRPr="00670A78" w:rsidRDefault="00000000">
      <w:pPr>
        <w:pStyle w:val="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lastRenderedPageBreak/>
        <w:t>4. Required data and data-collection template</w:t>
      </w:r>
    </w:p>
    <w:p w14:paraId="6C58E78C" w14:textId="77777777" w:rsidR="00E42F89" w:rsidRPr="00670A78" w:rsidRDefault="00000000">
      <w:pPr>
        <w:rPr>
          <w:lang w:eastAsia="zh-CN"/>
        </w:rPr>
      </w:pPr>
      <w:r w:rsidRPr="00670A78">
        <w:rPr>
          <w:lang w:eastAsia="zh-CN"/>
        </w:rPr>
        <w:t>数据强度必须与结论强度匹配。本文可以达到</w:t>
      </w:r>
      <w:r w:rsidRPr="00670A78">
        <w:rPr>
          <w:lang w:eastAsia="zh-CN"/>
        </w:rPr>
        <w:t xml:space="preserve"> Q2 </w:t>
      </w:r>
      <w:r w:rsidRPr="00670A78">
        <w:rPr>
          <w:lang w:eastAsia="zh-CN"/>
        </w:rPr>
        <w:t>投稿要求的前提是：采集</w:t>
      </w:r>
      <w:r w:rsidRPr="00670A78">
        <w:rPr>
          <w:lang w:eastAsia="zh-CN"/>
        </w:rPr>
        <w:t xml:space="preserve"> TomTom Malaysia </w:t>
      </w:r>
      <w:r w:rsidRPr="00670A78">
        <w:rPr>
          <w:lang w:eastAsia="zh-CN"/>
        </w:rPr>
        <w:t>当前收录的全部</w:t>
      </w:r>
      <w:r w:rsidRPr="00670A78">
        <w:rPr>
          <w:lang w:eastAsia="zh-CN"/>
        </w:rPr>
        <w:t xml:space="preserve"> 7 </w:t>
      </w:r>
      <w:r w:rsidRPr="00670A78">
        <w:rPr>
          <w:lang w:eastAsia="zh-CN"/>
        </w:rPr>
        <w:t>个城市，并且每个城市都必须同时采集</w:t>
      </w:r>
      <w:r w:rsidRPr="00670A78">
        <w:rPr>
          <w:lang w:eastAsia="zh-CN"/>
        </w:rPr>
        <w:t xml:space="preserve"> City </w:t>
      </w:r>
      <w:r w:rsidRPr="00670A78">
        <w:rPr>
          <w:lang w:eastAsia="zh-CN"/>
        </w:rPr>
        <w:t>与</w:t>
      </w:r>
      <w:r w:rsidRPr="00670A78">
        <w:rPr>
          <w:lang w:eastAsia="zh-CN"/>
        </w:rPr>
        <w:t xml:space="preserve"> Metro </w:t>
      </w:r>
      <w:r w:rsidRPr="00670A78">
        <w:rPr>
          <w:lang w:eastAsia="zh-CN"/>
        </w:rPr>
        <w:t>两个尺度。</w:t>
      </w:r>
      <w:r w:rsidRPr="00670A78">
        <w:rPr>
          <w:lang w:eastAsia="zh-CN"/>
        </w:rPr>
        <w:t xml:space="preserve">TomTom Traffic Index </w:t>
      </w:r>
      <w:r w:rsidRPr="00670A78">
        <w:rPr>
          <w:lang w:eastAsia="zh-CN"/>
        </w:rPr>
        <w:t>的</w:t>
      </w:r>
      <w:r w:rsidRPr="00670A78">
        <w:rPr>
          <w:lang w:eastAsia="zh-CN"/>
        </w:rPr>
        <w:t xml:space="preserve"> Malaysia country page </w:t>
      </w:r>
      <w:r w:rsidRPr="00670A78">
        <w:rPr>
          <w:lang w:eastAsia="zh-CN"/>
        </w:rPr>
        <w:t>可用于核对马来西亚城市样本，</w:t>
      </w:r>
      <w:r w:rsidRPr="00670A78">
        <w:rPr>
          <w:lang w:eastAsia="zh-CN"/>
        </w:rPr>
        <w:t xml:space="preserve">Johor Bahru city page </w:t>
      </w:r>
      <w:r w:rsidRPr="00670A78">
        <w:rPr>
          <w:lang w:eastAsia="zh-CN"/>
        </w:rPr>
        <w:t>和</w:t>
      </w:r>
      <w:r w:rsidRPr="00670A78">
        <w:rPr>
          <w:lang w:eastAsia="zh-CN"/>
        </w:rPr>
        <w:t xml:space="preserve"> TomTom About page </w:t>
      </w:r>
      <w:r w:rsidRPr="00670A78">
        <w:rPr>
          <w:lang w:eastAsia="zh-CN"/>
        </w:rPr>
        <w:t>可用于说明指标来源和平台口径。</w:t>
      </w:r>
    </w:p>
    <w:p w14:paraId="29B7C88B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4.1 Study cities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70A78" w:rsidRPr="00670A78" w14:paraId="11AD900D" w14:textId="77777777">
        <w:trPr>
          <w:tblHeader/>
          <w:jc w:val="center"/>
        </w:trPr>
        <w:tc>
          <w:tcPr>
            <w:tcW w:w="2409" w:type="dxa"/>
            <w:shd w:val="clear" w:color="auto" w:fill="D9EAF7"/>
            <w:vAlign w:val="center"/>
          </w:tcPr>
          <w:p w14:paraId="0A95388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No.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19A5E66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City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0C8433E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Scale required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46C86A9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Status note</w:t>
            </w:r>
          </w:p>
        </w:tc>
      </w:tr>
      <w:tr w:rsidR="00670A78" w:rsidRPr="00670A78" w14:paraId="60C6A774" w14:textId="77777777">
        <w:trPr>
          <w:jc w:val="center"/>
        </w:trPr>
        <w:tc>
          <w:tcPr>
            <w:tcW w:w="2409" w:type="dxa"/>
            <w:vAlign w:val="center"/>
          </w:tcPr>
          <w:p w14:paraId="4A7C05D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1</w:t>
            </w:r>
          </w:p>
        </w:tc>
        <w:tc>
          <w:tcPr>
            <w:tcW w:w="2409" w:type="dxa"/>
            <w:vAlign w:val="center"/>
          </w:tcPr>
          <w:p w14:paraId="12F9992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George Town</w:t>
            </w:r>
          </w:p>
        </w:tc>
        <w:tc>
          <w:tcPr>
            <w:tcW w:w="2409" w:type="dxa"/>
            <w:vAlign w:val="center"/>
          </w:tcPr>
          <w:p w14:paraId="0C75F51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 + Metro</w:t>
            </w:r>
          </w:p>
        </w:tc>
        <w:tc>
          <w:tcPr>
            <w:tcW w:w="2409" w:type="dxa"/>
            <w:vAlign w:val="center"/>
          </w:tcPr>
          <w:p w14:paraId="24475CF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必须成对采集。</w:t>
            </w:r>
          </w:p>
        </w:tc>
      </w:tr>
      <w:tr w:rsidR="00670A78" w:rsidRPr="00670A78" w14:paraId="02B6C2F1" w14:textId="77777777">
        <w:trPr>
          <w:jc w:val="center"/>
        </w:trPr>
        <w:tc>
          <w:tcPr>
            <w:tcW w:w="2409" w:type="dxa"/>
            <w:vAlign w:val="center"/>
          </w:tcPr>
          <w:p w14:paraId="4012F5A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2</w:t>
            </w:r>
          </w:p>
        </w:tc>
        <w:tc>
          <w:tcPr>
            <w:tcW w:w="2409" w:type="dxa"/>
            <w:vAlign w:val="center"/>
          </w:tcPr>
          <w:p w14:paraId="3267638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Kota Bharu</w:t>
            </w:r>
          </w:p>
        </w:tc>
        <w:tc>
          <w:tcPr>
            <w:tcW w:w="2409" w:type="dxa"/>
            <w:vAlign w:val="center"/>
          </w:tcPr>
          <w:p w14:paraId="4361498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 + Metro</w:t>
            </w:r>
          </w:p>
        </w:tc>
        <w:tc>
          <w:tcPr>
            <w:tcW w:w="2409" w:type="dxa"/>
            <w:vAlign w:val="center"/>
          </w:tcPr>
          <w:p w14:paraId="064E3E4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必须成对采集。</w:t>
            </w:r>
          </w:p>
        </w:tc>
      </w:tr>
      <w:tr w:rsidR="00670A78" w:rsidRPr="00670A78" w14:paraId="6F40AED9" w14:textId="77777777">
        <w:trPr>
          <w:jc w:val="center"/>
        </w:trPr>
        <w:tc>
          <w:tcPr>
            <w:tcW w:w="2409" w:type="dxa"/>
            <w:vAlign w:val="center"/>
          </w:tcPr>
          <w:p w14:paraId="3861590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3</w:t>
            </w:r>
          </w:p>
        </w:tc>
        <w:tc>
          <w:tcPr>
            <w:tcW w:w="2409" w:type="dxa"/>
            <w:vAlign w:val="center"/>
          </w:tcPr>
          <w:p w14:paraId="09A1A50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Kuala Lumpur</w:t>
            </w:r>
          </w:p>
        </w:tc>
        <w:tc>
          <w:tcPr>
            <w:tcW w:w="2409" w:type="dxa"/>
            <w:vAlign w:val="center"/>
          </w:tcPr>
          <w:p w14:paraId="194510E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 + Metro</w:t>
            </w:r>
          </w:p>
        </w:tc>
        <w:tc>
          <w:tcPr>
            <w:tcW w:w="2409" w:type="dxa"/>
            <w:vAlign w:val="center"/>
          </w:tcPr>
          <w:p w14:paraId="09A738F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必须成对采集。</w:t>
            </w:r>
          </w:p>
        </w:tc>
      </w:tr>
      <w:tr w:rsidR="00670A78" w:rsidRPr="00670A78" w14:paraId="3D13DB64" w14:textId="77777777">
        <w:trPr>
          <w:jc w:val="center"/>
        </w:trPr>
        <w:tc>
          <w:tcPr>
            <w:tcW w:w="2409" w:type="dxa"/>
            <w:vAlign w:val="center"/>
          </w:tcPr>
          <w:p w14:paraId="1F809C3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4</w:t>
            </w:r>
          </w:p>
        </w:tc>
        <w:tc>
          <w:tcPr>
            <w:tcW w:w="2409" w:type="dxa"/>
            <w:vAlign w:val="center"/>
          </w:tcPr>
          <w:p w14:paraId="23F6AF1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Seberang Perai</w:t>
            </w:r>
          </w:p>
        </w:tc>
        <w:tc>
          <w:tcPr>
            <w:tcW w:w="2409" w:type="dxa"/>
            <w:vAlign w:val="center"/>
          </w:tcPr>
          <w:p w14:paraId="49A80AE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 + Metro</w:t>
            </w:r>
          </w:p>
        </w:tc>
        <w:tc>
          <w:tcPr>
            <w:tcW w:w="2409" w:type="dxa"/>
            <w:vAlign w:val="center"/>
          </w:tcPr>
          <w:p w14:paraId="4EB6277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必须成对采集。</w:t>
            </w:r>
          </w:p>
        </w:tc>
      </w:tr>
      <w:tr w:rsidR="00670A78" w:rsidRPr="00670A78" w14:paraId="3E48B8AD" w14:textId="77777777">
        <w:trPr>
          <w:jc w:val="center"/>
        </w:trPr>
        <w:tc>
          <w:tcPr>
            <w:tcW w:w="2409" w:type="dxa"/>
            <w:vAlign w:val="center"/>
          </w:tcPr>
          <w:p w14:paraId="3DD44DC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5</w:t>
            </w:r>
          </w:p>
        </w:tc>
        <w:tc>
          <w:tcPr>
            <w:tcW w:w="2409" w:type="dxa"/>
            <w:vAlign w:val="center"/>
          </w:tcPr>
          <w:p w14:paraId="14B91CA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Johor Bahru</w:t>
            </w:r>
          </w:p>
        </w:tc>
        <w:tc>
          <w:tcPr>
            <w:tcW w:w="2409" w:type="dxa"/>
            <w:vAlign w:val="center"/>
          </w:tcPr>
          <w:p w14:paraId="1C8CACC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 + Metro</w:t>
            </w:r>
          </w:p>
        </w:tc>
        <w:tc>
          <w:tcPr>
            <w:tcW w:w="2409" w:type="dxa"/>
            <w:vAlign w:val="center"/>
          </w:tcPr>
          <w:p w14:paraId="5BCC0E2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你截图已经证明</w:t>
            </w:r>
            <w:r w:rsidRPr="00670A78">
              <w:rPr>
                <w:sz w:val="16"/>
              </w:rPr>
              <w:t xml:space="preserve"> City </w:t>
            </w:r>
            <w:r w:rsidRPr="00670A78">
              <w:rPr>
                <w:sz w:val="16"/>
              </w:rPr>
              <w:t>和</w:t>
            </w:r>
            <w:r w:rsidRPr="00670A78">
              <w:rPr>
                <w:sz w:val="16"/>
              </w:rPr>
              <w:t xml:space="preserve"> Metro overview </w:t>
            </w:r>
            <w:r w:rsidRPr="00670A78">
              <w:rPr>
                <w:sz w:val="16"/>
              </w:rPr>
              <w:t>以及</w:t>
            </w:r>
            <w:r w:rsidRPr="00670A78">
              <w:rPr>
                <w:sz w:val="16"/>
              </w:rPr>
              <w:t xml:space="preserve"> 24×7 heatmaps </w:t>
            </w:r>
            <w:r w:rsidRPr="00670A78">
              <w:rPr>
                <w:sz w:val="16"/>
              </w:rPr>
              <w:t>可采。</w:t>
            </w:r>
          </w:p>
        </w:tc>
      </w:tr>
      <w:tr w:rsidR="00670A78" w:rsidRPr="00670A78" w14:paraId="131D0E6C" w14:textId="77777777">
        <w:trPr>
          <w:jc w:val="center"/>
        </w:trPr>
        <w:tc>
          <w:tcPr>
            <w:tcW w:w="2409" w:type="dxa"/>
            <w:vAlign w:val="center"/>
          </w:tcPr>
          <w:p w14:paraId="06E1A70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6</w:t>
            </w:r>
          </w:p>
        </w:tc>
        <w:tc>
          <w:tcPr>
            <w:tcW w:w="2409" w:type="dxa"/>
            <w:vAlign w:val="center"/>
          </w:tcPr>
          <w:p w14:paraId="19D0A94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Ipoh</w:t>
            </w:r>
          </w:p>
        </w:tc>
        <w:tc>
          <w:tcPr>
            <w:tcW w:w="2409" w:type="dxa"/>
            <w:vAlign w:val="center"/>
          </w:tcPr>
          <w:p w14:paraId="74F9FEE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 + Metro</w:t>
            </w:r>
          </w:p>
        </w:tc>
        <w:tc>
          <w:tcPr>
            <w:tcW w:w="2409" w:type="dxa"/>
            <w:vAlign w:val="center"/>
          </w:tcPr>
          <w:p w14:paraId="35B59B8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必须成对采集。</w:t>
            </w:r>
          </w:p>
        </w:tc>
      </w:tr>
      <w:tr w:rsidR="00670A78" w:rsidRPr="00670A78" w14:paraId="5AC53C4A" w14:textId="77777777">
        <w:trPr>
          <w:jc w:val="center"/>
        </w:trPr>
        <w:tc>
          <w:tcPr>
            <w:tcW w:w="2409" w:type="dxa"/>
            <w:vAlign w:val="center"/>
          </w:tcPr>
          <w:p w14:paraId="5CBF006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7</w:t>
            </w:r>
          </w:p>
        </w:tc>
        <w:tc>
          <w:tcPr>
            <w:tcW w:w="2409" w:type="dxa"/>
            <w:vAlign w:val="center"/>
          </w:tcPr>
          <w:p w14:paraId="2680427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Kajang</w:t>
            </w:r>
          </w:p>
        </w:tc>
        <w:tc>
          <w:tcPr>
            <w:tcW w:w="2409" w:type="dxa"/>
            <w:vAlign w:val="center"/>
          </w:tcPr>
          <w:p w14:paraId="2182CC8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 + Metro</w:t>
            </w:r>
          </w:p>
        </w:tc>
        <w:tc>
          <w:tcPr>
            <w:tcW w:w="2409" w:type="dxa"/>
            <w:vAlign w:val="center"/>
          </w:tcPr>
          <w:p w14:paraId="31EC8C0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必须成对采集。</w:t>
            </w:r>
          </w:p>
        </w:tc>
      </w:tr>
    </w:tbl>
    <w:p w14:paraId="5BA6C8DC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4.2 Data modules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26"/>
        <w:gridCol w:w="1925"/>
        <w:gridCol w:w="1925"/>
        <w:gridCol w:w="1926"/>
        <w:gridCol w:w="1926"/>
      </w:tblGrid>
      <w:tr w:rsidR="00670A78" w:rsidRPr="00670A78" w14:paraId="73B05F55" w14:textId="77777777">
        <w:trPr>
          <w:tblHeader/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287481E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Module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18A9516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Records if complete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32A5341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Variables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06CB1A8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Role in paper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38C4DF1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Priority</w:t>
            </w:r>
          </w:p>
        </w:tc>
      </w:tr>
      <w:tr w:rsidR="00670A78" w:rsidRPr="00670A78" w14:paraId="28EF23BA" w14:textId="77777777">
        <w:trPr>
          <w:jc w:val="center"/>
        </w:trPr>
        <w:tc>
          <w:tcPr>
            <w:tcW w:w="1928" w:type="dxa"/>
            <w:vAlign w:val="center"/>
          </w:tcPr>
          <w:p w14:paraId="50462D2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Annual overview</w:t>
            </w:r>
          </w:p>
        </w:tc>
        <w:tc>
          <w:tcPr>
            <w:tcW w:w="1928" w:type="dxa"/>
            <w:vAlign w:val="center"/>
          </w:tcPr>
          <w:p w14:paraId="2F3DF82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7 cities × 2 scales = 14 rows</w:t>
            </w:r>
          </w:p>
        </w:tc>
        <w:tc>
          <w:tcPr>
            <w:tcW w:w="1928" w:type="dxa"/>
            <w:vAlign w:val="center"/>
          </w:tcPr>
          <w:p w14:paraId="776677C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average congestion, 15-min distance, TT10, rush-hour speed, highway ratio, highway speed, worst day</w:t>
            </w:r>
          </w:p>
        </w:tc>
        <w:tc>
          <w:tcPr>
            <w:tcW w:w="1928" w:type="dxa"/>
            <w:vAlign w:val="center"/>
          </w:tcPr>
          <w:p w14:paraId="310D747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核心总体尺度差异。</w:t>
            </w:r>
          </w:p>
        </w:tc>
        <w:tc>
          <w:tcPr>
            <w:tcW w:w="1928" w:type="dxa"/>
            <w:vAlign w:val="center"/>
          </w:tcPr>
          <w:p w14:paraId="6C3ADAF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Must have</w:t>
            </w:r>
          </w:p>
        </w:tc>
      </w:tr>
      <w:tr w:rsidR="00670A78" w:rsidRPr="00670A78" w14:paraId="3212B776" w14:textId="77777777">
        <w:trPr>
          <w:jc w:val="center"/>
        </w:trPr>
        <w:tc>
          <w:tcPr>
            <w:tcW w:w="1928" w:type="dxa"/>
            <w:vAlign w:val="center"/>
          </w:tcPr>
          <w:p w14:paraId="793A62E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Monthly congestion</w:t>
            </w:r>
          </w:p>
        </w:tc>
        <w:tc>
          <w:tcPr>
            <w:tcW w:w="1928" w:type="dxa"/>
            <w:vAlign w:val="center"/>
          </w:tcPr>
          <w:p w14:paraId="4FF1D51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7 × 2 × 2 years × 12 months = 336 rows</w:t>
            </w:r>
          </w:p>
        </w:tc>
        <w:tc>
          <w:tcPr>
            <w:tcW w:w="1928" w:type="dxa"/>
            <w:vAlign w:val="center"/>
          </w:tcPr>
          <w:p w14:paraId="0B88E02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monthly congestion for 2024 and 2025</w:t>
            </w:r>
          </w:p>
        </w:tc>
        <w:tc>
          <w:tcPr>
            <w:tcW w:w="1928" w:type="dxa"/>
            <w:vAlign w:val="center"/>
          </w:tcPr>
          <w:p w14:paraId="1D0BD0E6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5"/>
                <w:lang w:eastAsia="zh-CN"/>
              </w:rPr>
              <w:t>月度稳定性、年度变化和尺度差异补充。</w:t>
            </w:r>
          </w:p>
        </w:tc>
        <w:tc>
          <w:tcPr>
            <w:tcW w:w="1928" w:type="dxa"/>
            <w:vAlign w:val="center"/>
          </w:tcPr>
          <w:p w14:paraId="6959B8C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Strongly recommended</w:t>
            </w:r>
          </w:p>
        </w:tc>
      </w:tr>
      <w:tr w:rsidR="00670A78" w:rsidRPr="00670A78" w14:paraId="2F2DB972" w14:textId="77777777">
        <w:trPr>
          <w:jc w:val="center"/>
        </w:trPr>
        <w:tc>
          <w:tcPr>
            <w:tcW w:w="1928" w:type="dxa"/>
            <w:vAlign w:val="center"/>
          </w:tcPr>
          <w:p w14:paraId="1314E57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Rush-hour summary</w:t>
            </w:r>
          </w:p>
        </w:tc>
        <w:tc>
          <w:tcPr>
            <w:tcW w:w="1928" w:type="dxa"/>
            <w:vAlign w:val="center"/>
          </w:tcPr>
          <w:p w14:paraId="23B2BCA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7 × 2 × 2 peak periods = 28 rows</w:t>
            </w:r>
          </w:p>
        </w:tc>
        <w:tc>
          <w:tcPr>
            <w:tcW w:w="1928" w:type="dxa"/>
            <w:vAlign w:val="center"/>
          </w:tcPr>
          <w:p w14:paraId="1AFCFB2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AM/PM TT10, congestion, speed, time lost if available</w:t>
            </w:r>
          </w:p>
        </w:tc>
        <w:tc>
          <w:tcPr>
            <w:tcW w:w="1928" w:type="dxa"/>
            <w:vAlign w:val="center"/>
          </w:tcPr>
          <w:p w14:paraId="763C243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早晚高峰</w:t>
            </w:r>
            <w:r w:rsidRPr="00670A78">
              <w:rPr>
                <w:sz w:val="15"/>
              </w:rPr>
              <w:t xml:space="preserve"> gap </w:t>
            </w:r>
            <w:r w:rsidRPr="00670A78">
              <w:rPr>
                <w:sz w:val="15"/>
              </w:rPr>
              <w:t>和</w:t>
            </w:r>
            <w:r w:rsidRPr="00670A78">
              <w:rPr>
                <w:sz w:val="15"/>
              </w:rPr>
              <w:t xml:space="preserve"> peak asymmetry</w:t>
            </w:r>
            <w:r w:rsidRPr="00670A78">
              <w:rPr>
                <w:sz w:val="15"/>
              </w:rPr>
              <w:t>。</w:t>
            </w:r>
          </w:p>
        </w:tc>
        <w:tc>
          <w:tcPr>
            <w:tcW w:w="1928" w:type="dxa"/>
            <w:vAlign w:val="center"/>
          </w:tcPr>
          <w:p w14:paraId="7C46476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Strongly recommended</w:t>
            </w:r>
          </w:p>
        </w:tc>
      </w:tr>
      <w:tr w:rsidR="00670A78" w:rsidRPr="00670A78" w14:paraId="683B2A65" w14:textId="77777777">
        <w:trPr>
          <w:jc w:val="center"/>
        </w:trPr>
        <w:tc>
          <w:tcPr>
            <w:tcW w:w="1928" w:type="dxa"/>
            <w:vAlign w:val="center"/>
          </w:tcPr>
          <w:p w14:paraId="0830167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24×7 driving patterns</w:t>
            </w:r>
          </w:p>
        </w:tc>
        <w:tc>
          <w:tcPr>
            <w:tcW w:w="1928" w:type="dxa"/>
            <w:vAlign w:val="center"/>
          </w:tcPr>
          <w:p w14:paraId="37DABB1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7 × 2 × 3 indicators × 168 cells = 7056 values</w:t>
            </w:r>
          </w:p>
        </w:tc>
        <w:tc>
          <w:tcPr>
            <w:tcW w:w="1928" w:type="dxa"/>
            <w:vAlign w:val="center"/>
          </w:tcPr>
          <w:p w14:paraId="5D47E50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travel time, congestion level, speed by hour and weekday</w:t>
            </w:r>
          </w:p>
        </w:tc>
        <w:tc>
          <w:tcPr>
            <w:tcW w:w="1928" w:type="dxa"/>
            <w:vAlign w:val="center"/>
          </w:tcPr>
          <w:p w14:paraId="2A2A139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时段节律、差异热力图、</w:t>
            </w:r>
            <w:r w:rsidRPr="00670A78">
              <w:rPr>
                <w:sz w:val="15"/>
              </w:rPr>
              <w:t>weekly rhythm</w:t>
            </w:r>
            <w:r w:rsidRPr="00670A78">
              <w:rPr>
                <w:sz w:val="15"/>
              </w:rPr>
              <w:t>。</w:t>
            </w:r>
          </w:p>
        </w:tc>
        <w:tc>
          <w:tcPr>
            <w:tcW w:w="1928" w:type="dxa"/>
            <w:vAlign w:val="center"/>
          </w:tcPr>
          <w:p w14:paraId="2B3D42D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Strongly recommended</w:t>
            </w:r>
          </w:p>
        </w:tc>
      </w:tr>
      <w:tr w:rsidR="00670A78" w:rsidRPr="00670A78" w14:paraId="0914CB43" w14:textId="77777777">
        <w:trPr>
          <w:jc w:val="center"/>
        </w:trPr>
        <w:tc>
          <w:tcPr>
            <w:tcW w:w="1928" w:type="dxa"/>
            <w:vAlign w:val="center"/>
          </w:tcPr>
          <w:p w14:paraId="40D6462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OSM network context</w:t>
            </w:r>
          </w:p>
        </w:tc>
        <w:tc>
          <w:tcPr>
            <w:tcW w:w="1928" w:type="dxa"/>
            <w:vAlign w:val="center"/>
          </w:tcPr>
          <w:p w14:paraId="774EEBE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7 city rows plus optional metro proxy</w:t>
            </w:r>
          </w:p>
        </w:tc>
        <w:tc>
          <w:tcPr>
            <w:tcW w:w="1928" w:type="dxa"/>
            <w:vAlign w:val="center"/>
          </w:tcPr>
          <w:p w14:paraId="29BC3E8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road density, intersection density, high-capacity share, major road share</w:t>
            </w:r>
          </w:p>
        </w:tc>
        <w:tc>
          <w:tcPr>
            <w:tcW w:w="1928" w:type="dxa"/>
            <w:vAlign w:val="center"/>
          </w:tcPr>
          <w:p w14:paraId="35B6A904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5"/>
                <w:lang w:eastAsia="zh-CN"/>
              </w:rPr>
              <w:t>解释层，不作强因果。</w:t>
            </w:r>
          </w:p>
        </w:tc>
        <w:tc>
          <w:tcPr>
            <w:tcW w:w="1928" w:type="dxa"/>
            <w:vAlign w:val="center"/>
          </w:tcPr>
          <w:p w14:paraId="3B7EC33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Recommended</w:t>
            </w:r>
          </w:p>
        </w:tc>
      </w:tr>
      <w:tr w:rsidR="00670A78" w:rsidRPr="00670A78" w14:paraId="27AE915F" w14:textId="77777777">
        <w:trPr>
          <w:jc w:val="center"/>
        </w:trPr>
        <w:tc>
          <w:tcPr>
            <w:tcW w:w="1928" w:type="dxa"/>
            <w:vAlign w:val="center"/>
          </w:tcPr>
          <w:p w14:paraId="7DC6837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Urban background</w:t>
            </w:r>
          </w:p>
        </w:tc>
        <w:tc>
          <w:tcPr>
            <w:tcW w:w="1928" w:type="dxa"/>
            <w:vAlign w:val="center"/>
          </w:tcPr>
          <w:p w14:paraId="43AF041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7 city rows</w:t>
            </w:r>
          </w:p>
        </w:tc>
        <w:tc>
          <w:tcPr>
            <w:tcW w:w="1928" w:type="dxa"/>
            <w:vAlign w:val="center"/>
          </w:tcPr>
          <w:p w14:paraId="2C3CAA5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population, density, vehicle proxy, built-up area</w:t>
            </w:r>
          </w:p>
        </w:tc>
        <w:tc>
          <w:tcPr>
            <w:tcW w:w="1928" w:type="dxa"/>
            <w:vAlign w:val="center"/>
          </w:tcPr>
          <w:p w14:paraId="2E5EB59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讨论和稳健性背景。</w:t>
            </w:r>
          </w:p>
        </w:tc>
        <w:tc>
          <w:tcPr>
            <w:tcW w:w="1928" w:type="dxa"/>
            <w:vAlign w:val="center"/>
          </w:tcPr>
          <w:p w14:paraId="0269961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Optional but useful</w:t>
            </w:r>
          </w:p>
        </w:tc>
      </w:tr>
    </w:tbl>
    <w:p w14:paraId="6F0BADC5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4.3 Minimum acceptable dataset</w:t>
      </w:r>
    </w:p>
    <w:p w14:paraId="2E16619E" w14:textId="77777777" w:rsidR="00E42F89" w:rsidRPr="00670A78" w:rsidRDefault="00000000">
      <w:r w:rsidRPr="00670A78">
        <w:t>若时间有限，至少必须完成</w:t>
      </w:r>
      <w:r w:rsidRPr="00670A78">
        <w:t xml:space="preserve"> annual overview </w:t>
      </w:r>
      <w:r w:rsidRPr="00670A78">
        <w:t>的</w:t>
      </w:r>
      <w:r w:rsidRPr="00670A78">
        <w:t xml:space="preserve"> 14 </w:t>
      </w:r>
      <w:r w:rsidRPr="00670A78">
        <w:t>行主表，并补充</w:t>
      </w:r>
      <w:r w:rsidRPr="00670A78">
        <w:t xml:space="preserve"> travel time heatmap </w:t>
      </w:r>
      <w:r w:rsidRPr="00670A78">
        <w:t>的</w:t>
      </w:r>
      <w:r w:rsidRPr="00670A78">
        <w:t xml:space="preserve"> City </w:t>
      </w:r>
      <w:r w:rsidRPr="00670A78">
        <w:t>和</w:t>
      </w:r>
      <w:r w:rsidRPr="00670A78">
        <w:t xml:space="preserve"> Metro</w:t>
      </w:r>
      <w:r w:rsidRPr="00670A78">
        <w:t>。这样可以支撑</w:t>
      </w:r>
      <w:r w:rsidRPr="00670A78">
        <w:t xml:space="preserve"> annual gap</w:t>
      </w:r>
      <w:r w:rsidRPr="00670A78">
        <w:t>、</w:t>
      </w:r>
      <w:r w:rsidRPr="00670A78">
        <w:t>ranking instability</w:t>
      </w:r>
      <w:r w:rsidRPr="00670A78">
        <w:t>、</w:t>
      </w:r>
      <w:r w:rsidRPr="00670A78">
        <w:t xml:space="preserve">Bland–Altman </w:t>
      </w:r>
      <w:r w:rsidRPr="00670A78">
        <w:t>和</w:t>
      </w:r>
      <w:r w:rsidRPr="00670A78">
        <w:t xml:space="preserve"> temporal peak-gap </w:t>
      </w:r>
      <w:r w:rsidRPr="00670A78">
        <w:t>分析。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8"/>
        <w:gridCol w:w="2406"/>
        <w:gridCol w:w="2407"/>
        <w:gridCol w:w="2407"/>
      </w:tblGrid>
      <w:tr w:rsidR="00670A78" w:rsidRPr="00670A78" w14:paraId="2A620325" w14:textId="77777777">
        <w:trPr>
          <w:tblHeader/>
          <w:jc w:val="center"/>
        </w:trPr>
        <w:tc>
          <w:tcPr>
            <w:tcW w:w="2409" w:type="dxa"/>
            <w:shd w:val="clear" w:color="auto" w:fill="D9EAF7"/>
            <w:vAlign w:val="center"/>
          </w:tcPr>
          <w:p w14:paraId="2BABB86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Field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75CDFE4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Unit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7AA04F0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Required?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730538D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Notes</w:t>
            </w:r>
          </w:p>
        </w:tc>
      </w:tr>
      <w:tr w:rsidR="00670A78" w:rsidRPr="00670A78" w14:paraId="575405C6" w14:textId="77777777">
        <w:trPr>
          <w:jc w:val="center"/>
        </w:trPr>
        <w:tc>
          <w:tcPr>
            <w:tcW w:w="2409" w:type="dxa"/>
            <w:vAlign w:val="center"/>
          </w:tcPr>
          <w:p w14:paraId="0D1F6C1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</w:t>
            </w:r>
          </w:p>
        </w:tc>
        <w:tc>
          <w:tcPr>
            <w:tcW w:w="2409" w:type="dxa"/>
            <w:vAlign w:val="center"/>
          </w:tcPr>
          <w:p w14:paraId="0982C3C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text</w:t>
            </w:r>
          </w:p>
        </w:tc>
        <w:tc>
          <w:tcPr>
            <w:tcW w:w="2409" w:type="dxa"/>
            <w:vAlign w:val="center"/>
          </w:tcPr>
          <w:p w14:paraId="789CF10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Yes</w:t>
            </w:r>
          </w:p>
        </w:tc>
        <w:tc>
          <w:tcPr>
            <w:tcW w:w="2409" w:type="dxa"/>
            <w:vAlign w:val="center"/>
          </w:tcPr>
          <w:p w14:paraId="37D73D3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统一英文城市名。</w:t>
            </w:r>
          </w:p>
        </w:tc>
      </w:tr>
      <w:tr w:rsidR="00670A78" w:rsidRPr="00670A78" w14:paraId="1BEC3D39" w14:textId="77777777">
        <w:trPr>
          <w:jc w:val="center"/>
        </w:trPr>
        <w:tc>
          <w:tcPr>
            <w:tcW w:w="2409" w:type="dxa"/>
            <w:vAlign w:val="center"/>
          </w:tcPr>
          <w:p w14:paraId="4D6E6FD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scale</w:t>
            </w:r>
          </w:p>
        </w:tc>
        <w:tc>
          <w:tcPr>
            <w:tcW w:w="2409" w:type="dxa"/>
            <w:vAlign w:val="center"/>
          </w:tcPr>
          <w:p w14:paraId="20C689E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 / Metro</w:t>
            </w:r>
          </w:p>
        </w:tc>
        <w:tc>
          <w:tcPr>
            <w:tcW w:w="2409" w:type="dxa"/>
            <w:vAlign w:val="center"/>
          </w:tcPr>
          <w:p w14:paraId="7BA5AFE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Yes</w:t>
            </w:r>
          </w:p>
        </w:tc>
        <w:tc>
          <w:tcPr>
            <w:tcW w:w="2409" w:type="dxa"/>
            <w:vAlign w:val="center"/>
          </w:tcPr>
          <w:p w14:paraId="1E5AC96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不能写</w:t>
            </w:r>
            <w:r w:rsidRPr="00670A78">
              <w:rPr>
                <w:sz w:val="16"/>
              </w:rPr>
              <w:t xml:space="preserve"> town </w:t>
            </w:r>
            <w:r w:rsidRPr="00670A78">
              <w:rPr>
                <w:sz w:val="16"/>
              </w:rPr>
              <w:t>或乡镇。</w:t>
            </w:r>
          </w:p>
        </w:tc>
      </w:tr>
      <w:tr w:rsidR="00670A78" w:rsidRPr="00670A78" w14:paraId="60C1811C" w14:textId="77777777">
        <w:trPr>
          <w:jc w:val="center"/>
        </w:trPr>
        <w:tc>
          <w:tcPr>
            <w:tcW w:w="2409" w:type="dxa"/>
            <w:vAlign w:val="center"/>
          </w:tcPr>
          <w:p w14:paraId="50F562E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year</w:t>
            </w:r>
          </w:p>
        </w:tc>
        <w:tc>
          <w:tcPr>
            <w:tcW w:w="2409" w:type="dxa"/>
            <w:vAlign w:val="center"/>
          </w:tcPr>
          <w:p w14:paraId="70E06F1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2025</w:t>
            </w:r>
          </w:p>
        </w:tc>
        <w:tc>
          <w:tcPr>
            <w:tcW w:w="2409" w:type="dxa"/>
            <w:vAlign w:val="center"/>
          </w:tcPr>
          <w:p w14:paraId="6D13B00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Yes</w:t>
            </w:r>
          </w:p>
        </w:tc>
        <w:tc>
          <w:tcPr>
            <w:tcW w:w="2409" w:type="dxa"/>
            <w:vAlign w:val="center"/>
          </w:tcPr>
          <w:p w14:paraId="27541BF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同一年份。</w:t>
            </w:r>
          </w:p>
        </w:tc>
      </w:tr>
      <w:tr w:rsidR="00670A78" w:rsidRPr="00670A78" w14:paraId="6F36C452" w14:textId="77777777">
        <w:trPr>
          <w:jc w:val="center"/>
        </w:trPr>
        <w:tc>
          <w:tcPr>
            <w:tcW w:w="2409" w:type="dxa"/>
            <w:vAlign w:val="center"/>
          </w:tcPr>
          <w:p w14:paraId="7A82F9B7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6"/>
              </w:rPr>
              <w:t>average_congestion_level</w:t>
            </w:r>
            <w:proofErr w:type="spellEnd"/>
          </w:p>
        </w:tc>
        <w:tc>
          <w:tcPr>
            <w:tcW w:w="2409" w:type="dxa"/>
            <w:vAlign w:val="center"/>
          </w:tcPr>
          <w:p w14:paraId="0DB2ECE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%</w:t>
            </w:r>
          </w:p>
        </w:tc>
        <w:tc>
          <w:tcPr>
            <w:tcW w:w="2409" w:type="dxa"/>
            <w:vAlign w:val="center"/>
          </w:tcPr>
          <w:p w14:paraId="2437F4E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Yes</w:t>
            </w:r>
          </w:p>
        </w:tc>
        <w:tc>
          <w:tcPr>
            <w:tcW w:w="2409" w:type="dxa"/>
            <w:vAlign w:val="center"/>
          </w:tcPr>
          <w:p w14:paraId="11BBDDC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用于</w:t>
            </w:r>
            <w:r w:rsidRPr="00670A78">
              <w:rPr>
                <w:sz w:val="16"/>
              </w:rPr>
              <w:t xml:space="preserve"> congestion gap </w:t>
            </w:r>
            <w:r w:rsidRPr="00670A78">
              <w:rPr>
                <w:sz w:val="16"/>
              </w:rPr>
              <w:t>和</w:t>
            </w:r>
            <w:r w:rsidRPr="00670A78">
              <w:rPr>
                <w:sz w:val="16"/>
              </w:rPr>
              <w:t xml:space="preserve"> ranking</w:t>
            </w:r>
            <w:r w:rsidRPr="00670A78">
              <w:rPr>
                <w:sz w:val="16"/>
              </w:rPr>
              <w:t>。</w:t>
            </w:r>
          </w:p>
        </w:tc>
      </w:tr>
      <w:tr w:rsidR="00670A78" w:rsidRPr="00670A78" w14:paraId="38E44E90" w14:textId="77777777">
        <w:trPr>
          <w:jc w:val="center"/>
        </w:trPr>
        <w:tc>
          <w:tcPr>
            <w:tcW w:w="2409" w:type="dxa"/>
            <w:vAlign w:val="center"/>
          </w:tcPr>
          <w:p w14:paraId="2316792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average_distance_driven_15min</w:t>
            </w:r>
          </w:p>
        </w:tc>
        <w:tc>
          <w:tcPr>
            <w:tcW w:w="2409" w:type="dxa"/>
            <w:vAlign w:val="center"/>
          </w:tcPr>
          <w:p w14:paraId="3031738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km</w:t>
            </w:r>
          </w:p>
        </w:tc>
        <w:tc>
          <w:tcPr>
            <w:tcW w:w="2409" w:type="dxa"/>
            <w:vAlign w:val="center"/>
          </w:tcPr>
          <w:p w14:paraId="7428DC2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Yes</w:t>
            </w:r>
          </w:p>
        </w:tc>
        <w:tc>
          <w:tcPr>
            <w:tcW w:w="2409" w:type="dxa"/>
            <w:vAlign w:val="center"/>
          </w:tcPr>
          <w:p w14:paraId="5E92982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用于</w:t>
            </w:r>
            <w:r w:rsidRPr="00670A78">
              <w:rPr>
                <w:sz w:val="16"/>
              </w:rPr>
              <w:t xml:space="preserve"> realised mobility comparison</w:t>
            </w:r>
            <w:r w:rsidRPr="00670A78">
              <w:rPr>
                <w:sz w:val="16"/>
              </w:rPr>
              <w:t>。</w:t>
            </w:r>
          </w:p>
        </w:tc>
      </w:tr>
      <w:tr w:rsidR="00670A78" w:rsidRPr="00670A78" w14:paraId="7FA98D0A" w14:textId="77777777">
        <w:trPr>
          <w:jc w:val="center"/>
        </w:trPr>
        <w:tc>
          <w:tcPr>
            <w:tcW w:w="2409" w:type="dxa"/>
            <w:vAlign w:val="center"/>
          </w:tcPr>
          <w:p w14:paraId="29A6B2D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average_travel_time_10km</w:t>
            </w:r>
          </w:p>
        </w:tc>
        <w:tc>
          <w:tcPr>
            <w:tcW w:w="2409" w:type="dxa"/>
            <w:vAlign w:val="center"/>
          </w:tcPr>
          <w:p w14:paraId="7B27DBB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seconds or minutes</w:t>
            </w:r>
          </w:p>
        </w:tc>
        <w:tc>
          <w:tcPr>
            <w:tcW w:w="2409" w:type="dxa"/>
            <w:vAlign w:val="center"/>
          </w:tcPr>
          <w:p w14:paraId="4324CDC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Yes</w:t>
            </w:r>
          </w:p>
        </w:tc>
        <w:tc>
          <w:tcPr>
            <w:tcW w:w="2409" w:type="dxa"/>
            <w:vAlign w:val="center"/>
          </w:tcPr>
          <w:p w14:paraId="75F629A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建议统一转为</w:t>
            </w:r>
            <w:r w:rsidRPr="00670A78">
              <w:rPr>
                <w:sz w:val="16"/>
              </w:rPr>
              <w:t xml:space="preserve"> seconds</w:t>
            </w:r>
            <w:r w:rsidRPr="00670A78">
              <w:rPr>
                <w:sz w:val="16"/>
              </w:rPr>
              <w:t>，同时保留</w:t>
            </w:r>
            <w:r w:rsidRPr="00670A78">
              <w:rPr>
                <w:sz w:val="16"/>
              </w:rPr>
              <w:t xml:space="preserve"> display text</w:t>
            </w:r>
            <w:r w:rsidRPr="00670A78">
              <w:rPr>
                <w:sz w:val="16"/>
              </w:rPr>
              <w:t>。</w:t>
            </w:r>
          </w:p>
        </w:tc>
      </w:tr>
      <w:tr w:rsidR="00670A78" w:rsidRPr="00670A78" w14:paraId="6E524125" w14:textId="77777777">
        <w:trPr>
          <w:jc w:val="center"/>
        </w:trPr>
        <w:tc>
          <w:tcPr>
            <w:tcW w:w="2409" w:type="dxa"/>
            <w:vAlign w:val="center"/>
          </w:tcPr>
          <w:p w14:paraId="2694A5A8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6"/>
              </w:rPr>
              <w:t>average_speed_rush_hour</w:t>
            </w:r>
            <w:proofErr w:type="spellEnd"/>
          </w:p>
        </w:tc>
        <w:tc>
          <w:tcPr>
            <w:tcW w:w="2409" w:type="dxa"/>
            <w:vAlign w:val="center"/>
          </w:tcPr>
          <w:p w14:paraId="2FA3DC9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km/h</w:t>
            </w:r>
          </w:p>
        </w:tc>
        <w:tc>
          <w:tcPr>
            <w:tcW w:w="2409" w:type="dxa"/>
            <w:vAlign w:val="center"/>
          </w:tcPr>
          <w:p w14:paraId="3C52A6C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Yes</w:t>
            </w:r>
          </w:p>
        </w:tc>
        <w:tc>
          <w:tcPr>
            <w:tcW w:w="2409" w:type="dxa"/>
            <w:vAlign w:val="center"/>
          </w:tcPr>
          <w:p w14:paraId="49D43DC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用于</w:t>
            </w:r>
            <w:r w:rsidRPr="00670A78">
              <w:rPr>
                <w:sz w:val="16"/>
              </w:rPr>
              <w:t xml:space="preserve"> speed gap</w:t>
            </w:r>
            <w:r w:rsidRPr="00670A78">
              <w:rPr>
                <w:sz w:val="16"/>
              </w:rPr>
              <w:t>。</w:t>
            </w:r>
          </w:p>
        </w:tc>
      </w:tr>
      <w:tr w:rsidR="00670A78" w:rsidRPr="00670A78" w14:paraId="4A0A6177" w14:textId="77777777">
        <w:trPr>
          <w:jc w:val="center"/>
        </w:trPr>
        <w:tc>
          <w:tcPr>
            <w:tcW w:w="2409" w:type="dxa"/>
            <w:vAlign w:val="center"/>
          </w:tcPr>
          <w:p w14:paraId="649A2A71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6"/>
              </w:rPr>
              <w:t>highway_trip_ratio</w:t>
            </w:r>
            <w:proofErr w:type="spellEnd"/>
          </w:p>
        </w:tc>
        <w:tc>
          <w:tcPr>
            <w:tcW w:w="2409" w:type="dxa"/>
            <w:vAlign w:val="center"/>
          </w:tcPr>
          <w:p w14:paraId="095B109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%</w:t>
            </w:r>
          </w:p>
        </w:tc>
        <w:tc>
          <w:tcPr>
            <w:tcW w:w="2409" w:type="dxa"/>
            <w:vAlign w:val="center"/>
          </w:tcPr>
          <w:p w14:paraId="059814A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Recommended</w:t>
            </w:r>
          </w:p>
        </w:tc>
        <w:tc>
          <w:tcPr>
            <w:tcW w:w="2409" w:type="dxa"/>
            <w:vAlign w:val="center"/>
          </w:tcPr>
          <w:p w14:paraId="365DDD9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解释</w:t>
            </w:r>
            <w:r w:rsidRPr="00670A78">
              <w:rPr>
                <w:sz w:val="16"/>
              </w:rPr>
              <w:t xml:space="preserve"> road hierarchy effects</w:t>
            </w:r>
            <w:r w:rsidRPr="00670A78">
              <w:rPr>
                <w:sz w:val="16"/>
              </w:rPr>
              <w:t>。</w:t>
            </w:r>
          </w:p>
        </w:tc>
      </w:tr>
      <w:tr w:rsidR="00670A78" w:rsidRPr="00670A78" w14:paraId="42553673" w14:textId="77777777">
        <w:trPr>
          <w:jc w:val="center"/>
        </w:trPr>
        <w:tc>
          <w:tcPr>
            <w:tcW w:w="2409" w:type="dxa"/>
            <w:vAlign w:val="center"/>
          </w:tcPr>
          <w:p w14:paraId="0B49DEE3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6"/>
              </w:rPr>
              <w:t>average_speed_highways</w:t>
            </w:r>
            <w:proofErr w:type="spellEnd"/>
          </w:p>
        </w:tc>
        <w:tc>
          <w:tcPr>
            <w:tcW w:w="2409" w:type="dxa"/>
            <w:vAlign w:val="center"/>
          </w:tcPr>
          <w:p w14:paraId="2BF856F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km/h</w:t>
            </w:r>
          </w:p>
        </w:tc>
        <w:tc>
          <w:tcPr>
            <w:tcW w:w="2409" w:type="dxa"/>
            <w:vAlign w:val="center"/>
          </w:tcPr>
          <w:p w14:paraId="712D643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Recommended</w:t>
            </w:r>
          </w:p>
        </w:tc>
        <w:tc>
          <w:tcPr>
            <w:tcW w:w="2409" w:type="dxa"/>
            <w:vAlign w:val="center"/>
          </w:tcPr>
          <w:p w14:paraId="756BC44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解释</w:t>
            </w:r>
            <w:r w:rsidRPr="00670A78">
              <w:rPr>
                <w:sz w:val="16"/>
              </w:rPr>
              <w:t xml:space="preserve"> metro </w:t>
            </w:r>
            <w:r w:rsidRPr="00670A78">
              <w:rPr>
                <w:sz w:val="16"/>
              </w:rPr>
              <w:t>与</w:t>
            </w:r>
            <w:r w:rsidRPr="00670A78">
              <w:rPr>
                <w:sz w:val="16"/>
              </w:rPr>
              <w:t xml:space="preserve"> city speed </w:t>
            </w:r>
            <w:r w:rsidRPr="00670A78">
              <w:rPr>
                <w:sz w:val="16"/>
              </w:rPr>
              <w:t>差异。</w:t>
            </w:r>
          </w:p>
        </w:tc>
      </w:tr>
      <w:tr w:rsidR="00670A78" w:rsidRPr="00670A78" w14:paraId="292B8D2A" w14:textId="77777777">
        <w:trPr>
          <w:jc w:val="center"/>
        </w:trPr>
        <w:tc>
          <w:tcPr>
            <w:tcW w:w="2409" w:type="dxa"/>
            <w:vAlign w:val="center"/>
          </w:tcPr>
          <w:p w14:paraId="5A16BA35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6"/>
              </w:rPr>
              <w:t>source_url</w:t>
            </w:r>
            <w:proofErr w:type="spellEnd"/>
          </w:p>
        </w:tc>
        <w:tc>
          <w:tcPr>
            <w:tcW w:w="2409" w:type="dxa"/>
            <w:vAlign w:val="center"/>
          </w:tcPr>
          <w:p w14:paraId="34F27AB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URL</w:t>
            </w:r>
          </w:p>
        </w:tc>
        <w:tc>
          <w:tcPr>
            <w:tcW w:w="2409" w:type="dxa"/>
            <w:vAlign w:val="center"/>
          </w:tcPr>
          <w:p w14:paraId="5559A04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Yes</w:t>
            </w:r>
          </w:p>
        </w:tc>
        <w:tc>
          <w:tcPr>
            <w:tcW w:w="2409" w:type="dxa"/>
            <w:vAlign w:val="center"/>
          </w:tcPr>
          <w:p w14:paraId="6A67BF87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每行记录保留页面来源。</w:t>
            </w:r>
          </w:p>
        </w:tc>
      </w:tr>
      <w:tr w:rsidR="00670A78" w:rsidRPr="00670A78" w14:paraId="15B222AA" w14:textId="77777777">
        <w:trPr>
          <w:jc w:val="center"/>
        </w:trPr>
        <w:tc>
          <w:tcPr>
            <w:tcW w:w="2409" w:type="dxa"/>
            <w:vAlign w:val="center"/>
          </w:tcPr>
          <w:p w14:paraId="06D3460C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6"/>
              </w:rPr>
              <w:t>capture_date</w:t>
            </w:r>
            <w:proofErr w:type="spellEnd"/>
          </w:p>
        </w:tc>
        <w:tc>
          <w:tcPr>
            <w:tcW w:w="2409" w:type="dxa"/>
            <w:vAlign w:val="center"/>
          </w:tcPr>
          <w:p w14:paraId="7233004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date</w:t>
            </w:r>
          </w:p>
        </w:tc>
        <w:tc>
          <w:tcPr>
            <w:tcW w:w="2409" w:type="dxa"/>
            <w:vAlign w:val="center"/>
          </w:tcPr>
          <w:p w14:paraId="299E1C9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Yes</w:t>
            </w:r>
          </w:p>
        </w:tc>
        <w:tc>
          <w:tcPr>
            <w:tcW w:w="2409" w:type="dxa"/>
            <w:vAlign w:val="center"/>
          </w:tcPr>
          <w:p w14:paraId="31BC090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保证可追溯。</w:t>
            </w:r>
          </w:p>
        </w:tc>
      </w:tr>
    </w:tbl>
    <w:p w14:paraId="6DE8892E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4.4 Heatmap long-format template</w:t>
      </w:r>
    </w:p>
    <w:p w14:paraId="0CE3971C" w14:textId="77777777" w:rsidR="00E42F89" w:rsidRPr="00670A78" w:rsidRDefault="00000000">
      <w:r w:rsidRPr="00670A78">
        <w:t xml:space="preserve">24×7 heatmap </w:t>
      </w:r>
      <w:r w:rsidRPr="00670A78">
        <w:t>不能只存截图。必须转成</w:t>
      </w:r>
      <w:r w:rsidRPr="00670A78">
        <w:t xml:space="preserve"> long format</w:t>
      </w:r>
      <w:r w:rsidRPr="00670A78">
        <w:t>，便于计算。每一个格子是一行。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70A78" w:rsidRPr="00670A78" w14:paraId="621C031E" w14:textId="77777777">
        <w:trPr>
          <w:tblHeader/>
          <w:jc w:val="center"/>
        </w:trPr>
        <w:tc>
          <w:tcPr>
            <w:tcW w:w="3213" w:type="dxa"/>
            <w:shd w:val="clear" w:color="auto" w:fill="D9EAF7"/>
            <w:vAlign w:val="center"/>
          </w:tcPr>
          <w:p w14:paraId="1228C82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Field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4192E50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Example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3B69BA4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Definition</w:t>
            </w:r>
          </w:p>
        </w:tc>
      </w:tr>
      <w:tr w:rsidR="00670A78" w:rsidRPr="00670A78" w14:paraId="25DAC169" w14:textId="77777777">
        <w:trPr>
          <w:jc w:val="center"/>
        </w:trPr>
        <w:tc>
          <w:tcPr>
            <w:tcW w:w="3213" w:type="dxa"/>
            <w:vAlign w:val="center"/>
          </w:tcPr>
          <w:p w14:paraId="67B0811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</w:t>
            </w:r>
          </w:p>
        </w:tc>
        <w:tc>
          <w:tcPr>
            <w:tcW w:w="3213" w:type="dxa"/>
            <w:vAlign w:val="center"/>
          </w:tcPr>
          <w:p w14:paraId="7956595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Johor Bahru</w:t>
            </w:r>
          </w:p>
        </w:tc>
        <w:tc>
          <w:tcPr>
            <w:tcW w:w="3213" w:type="dxa"/>
            <w:vAlign w:val="center"/>
          </w:tcPr>
          <w:p w14:paraId="00ADC7E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城市名。</w:t>
            </w:r>
          </w:p>
        </w:tc>
      </w:tr>
      <w:tr w:rsidR="00670A78" w:rsidRPr="00670A78" w14:paraId="1D742698" w14:textId="77777777">
        <w:trPr>
          <w:jc w:val="center"/>
        </w:trPr>
        <w:tc>
          <w:tcPr>
            <w:tcW w:w="3213" w:type="dxa"/>
            <w:vAlign w:val="center"/>
          </w:tcPr>
          <w:p w14:paraId="543AA07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scale</w:t>
            </w:r>
          </w:p>
        </w:tc>
        <w:tc>
          <w:tcPr>
            <w:tcW w:w="3213" w:type="dxa"/>
            <w:vAlign w:val="center"/>
          </w:tcPr>
          <w:p w14:paraId="682B4AA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</w:t>
            </w:r>
          </w:p>
        </w:tc>
        <w:tc>
          <w:tcPr>
            <w:tcW w:w="3213" w:type="dxa"/>
            <w:vAlign w:val="center"/>
          </w:tcPr>
          <w:p w14:paraId="5FDC31E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 xml:space="preserve">City </w:t>
            </w:r>
            <w:r w:rsidRPr="00670A78">
              <w:rPr>
                <w:sz w:val="16"/>
              </w:rPr>
              <w:t>或</w:t>
            </w:r>
            <w:r w:rsidRPr="00670A78">
              <w:rPr>
                <w:sz w:val="16"/>
              </w:rPr>
              <w:t xml:space="preserve"> Metro</w:t>
            </w:r>
            <w:r w:rsidRPr="00670A78">
              <w:rPr>
                <w:sz w:val="16"/>
              </w:rPr>
              <w:t>。</w:t>
            </w:r>
          </w:p>
        </w:tc>
      </w:tr>
      <w:tr w:rsidR="00670A78" w:rsidRPr="00670A78" w14:paraId="3F012162" w14:textId="77777777">
        <w:trPr>
          <w:jc w:val="center"/>
        </w:trPr>
        <w:tc>
          <w:tcPr>
            <w:tcW w:w="3213" w:type="dxa"/>
            <w:vAlign w:val="center"/>
          </w:tcPr>
          <w:p w14:paraId="0BF9525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indicator</w:t>
            </w:r>
          </w:p>
        </w:tc>
        <w:tc>
          <w:tcPr>
            <w:tcW w:w="3213" w:type="dxa"/>
            <w:vAlign w:val="center"/>
          </w:tcPr>
          <w:p w14:paraId="76D975A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travel_time</w:t>
            </w:r>
          </w:p>
        </w:tc>
        <w:tc>
          <w:tcPr>
            <w:tcW w:w="3213" w:type="dxa"/>
            <w:vAlign w:val="center"/>
          </w:tcPr>
          <w:p w14:paraId="0F83668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travel_time / congestion_level / speed</w:t>
            </w:r>
            <w:r w:rsidRPr="00670A78">
              <w:rPr>
                <w:sz w:val="16"/>
              </w:rPr>
              <w:t>。</w:t>
            </w:r>
          </w:p>
        </w:tc>
      </w:tr>
      <w:tr w:rsidR="00670A78" w:rsidRPr="00670A78" w14:paraId="7DF9E3D2" w14:textId="77777777">
        <w:trPr>
          <w:jc w:val="center"/>
        </w:trPr>
        <w:tc>
          <w:tcPr>
            <w:tcW w:w="3213" w:type="dxa"/>
            <w:vAlign w:val="center"/>
          </w:tcPr>
          <w:p w14:paraId="296A8C5D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6"/>
              </w:rPr>
              <w:t>distance_km</w:t>
            </w:r>
            <w:proofErr w:type="spellEnd"/>
          </w:p>
        </w:tc>
        <w:tc>
          <w:tcPr>
            <w:tcW w:w="3213" w:type="dxa"/>
            <w:vAlign w:val="center"/>
          </w:tcPr>
          <w:p w14:paraId="7797848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10</w:t>
            </w:r>
          </w:p>
        </w:tc>
        <w:tc>
          <w:tcPr>
            <w:tcW w:w="3213" w:type="dxa"/>
            <w:vAlign w:val="center"/>
          </w:tcPr>
          <w:p w14:paraId="0AC335F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必须统一为</w:t>
            </w:r>
            <w:r w:rsidRPr="00670A78">
              <w:rPr>
                <w:sz w:val="16"/>
              </w:rPr>
              <w:t xml:space="preserve"> 10 km</w:t>
            </w:r>
            <w:r w:rsidRPr="00670A78">
              <w:rPr>
                <w:sz w:val="16"/>
              </w:rPr>
              <w:t>。</w:t>
            </w:r>
          </w:p>
        </w:tc>
      </w:tr>
      <w:tr w:rsidR="00670A78" w:rsidRPr="00670A78" w14:paraId="77102440" w14:textId="77777777">
        <w:trPr>
          <w:jc w:val="center"/>
        </w:trPr>
        <w:tc>
          <w:tcPr>
            <w:tcW w:w="3213" w:type="dxa"/>
            <w:vAlign w:val="center"/>
          </w:tcPr>
          <w:p w14:paraId="76A5FE19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6"/>
              </w:rPr>
              <w:lastRenderedPageBreak/>
              <w:t>day_of_week</w:t>
            </w:r>
            <w:proofErr w:type="spellEnd"/>
          </w:p>
        </w:tc>
        <w:tc>
          <w:tcPr>
            <w:tcW w:w="3213" w:type="dxa"/>
            <w:vAlign w:val="center"/>
          </w:tcPr>
          <w:p w14:paraId="59120D6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Mon</w:t>
            </w:r>
          </w:p>
        </w:tc>
        <w:tc>
          <w:tcPr>
            <w:tcW w:w="3213" w:type="dxa"/>
            <w:vAlign w:val="center"/>
          </w:tcPr>
          <w:p w14:paraId="2498054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Mon–Sun</w:t>
            </w:r>
            <w:r w:rsidRPr="00670A78">
              <w:rPr>
                <w:sz w:val="16"/>
              </w:rPr>
              <w:t>。</w:t>
            </w:r>
          </w:p>
        </w:tc>
      </w:tr>
      <w:tr w:rsidR="00670A78" w:rsidRPr="00670A78" w14:paraId="113B99DB" w14:textId="77777777">
        <w:trPr>
          <w:jc w:val="center"/>
        </w:trPr>
        <w:tc>
          <w:tcPr>
            <w:tcW w:w="3213" w:type="dxa"/>
            <w:vAlign w:val="center"/>
          </w:tcPr>
          <w:p w14:paraId="414B9DD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hour</w:t>
            </w:r>
          </w:p>
        </w:tc>
        <w:tc>
          <w:tcPr>
            <w:tcW w:w="3213" w:type="dxa"/>
            <w:vAlign w:val="center"/>
          </w:tcPr>
          <w:p w14:paraId="0CF22A6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18</w:t>
            </w:r>
          </w:p>
        </w:tc>
        <w:tc>
          <w:tcPr>
            <w:tcW w:w="3213" w:type="dxa"/>
            <w:vAlign w:val="center"/>
          </w:tcPr>
          <w:p w14:paraId="415266B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0–23</w:t>
            </w:r>
            <w:r w:rsidRPr="00670A78">
              <w:rPr>
                <w:sz w:val="16"/>
              </w:rPr>
              <w:t>；用</w:t>
            </w:r>
            <w:r w:rsidRPr="00670A78">
              <w:rPr>
                <w:sz w:val="16"/>
              </w:rPr>
              <w:t xml:space="preserve"> 24-hour format</w:t>
            </w:r>
            <w:r w:rsidRPr="00670A78">
              <w:rPr>
                <w:sz w:val="16"/>
              </w:rPr>
              <w:t>。</w:t>
            </w:r>
          </w:p>
        </w:tc>
      </w:tr>
      <w:tr w:rsidR="00670A78" w:rsidRPr="00670A78" w14:paraId="7AFDDA11" w14:textId="77777777">
        <w:trPr>
          <w:jc w:val="center"/>
        </w:trPr>
        <w:tc>
          <w:tcPr>
            <w:tcW w:w="3213" w:type="dxa"/>
            <w:vAlign w:val="center"/>
          </w:tcPr>
          <w:p w14:paraId="368A277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value</w:t>
            </w:r>
          </w:p>
        </w:tc>
        <w:tc>
          <w:tcPr>
            <w:tcW w:w="3213" w:type="dxa"/>
            <w:vAlign w:val="center"/>
          </w:tcPr>
          <w:p w14:paraId="6D1825C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23.83</w:t>
            </w:r>
          </w:p>
        </w:tc>
        <w:tc>
          <w:tcPr>
            <w:tcW w:w="3213" w:type="dxa"/>
            <w:vAlign w:val="center"/>
          </w:tcPr>
          <w:p w14:paraId="526EAD5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数值；</w:t>
            </w:r>
            <w:r w:rsidRPr="00670A78">
              <w:rPr>
                <w:sz w:val="16"/>
              </w:rPr>
              <w:t xml:space="preserve">travel_time </w:t>
            </w:r>
            <w:r w:rsidRPr="00670A78">
              <w:rPr>
                <w:sz w:val="16"/>
              </w:rPr>
              <w:t>用</w:t>
            </w:r>
            <w:r w:rsidRPr="00670A78">
              <w:rPr>
                <w:sz w:val="16"/>
              </w:rPr>
              <w:t xml:space="preserve"> minutes </w:t>
            </w:r>
            <w:r w:rsidRPr="00670A78">
              <w:rPr>
                <w:sz w:val="16"/>
              </w:rPr>
              <w:t>或</w:t>
            </w:r>
            <w:r w:rsidRPr="00670A78">
              <w:rPr>
                <w:sz w:val="16"/>
              </w:rPr>
              <w:t xml:space="preserve"> seconds</w:t>
            </w:r>
            <w:r w:rsidRPr="00670A78">
              <w:rPr>
                <w:sz w:val="16"/>
              </w:rPr>
              <w:t>；</w:t>
            </w:r>
            <w:r w:rsidRPr="00670A78">
              <w:rPr>
                <w:sz w:val="16"/>
              </w:rPr>
              <w:t xml:space="preserve">speed </w:t>
            </w:r>
            <w:r w:rsidRPr="00670A78">
              <w:rPr>
                <w:sz w:val="16"/>
              </w:rPr>
              <w:t>用</w:t>
            </w:r>
            <w:r w:rsidRPr="00670A78">
              <w:rPr>
                <w:sz w:val="16"/>
              </w:rPr>
              <w:t xml:space="preserve"> km/h</w:t>
            </w:r>
            <w:r w:rsidRPr="00670A78">
              <w:rPr>
                <w:sz w:val="16"/>
              </w:rPr>
              <w:t>；</w:t>
            </w:r>
            <w:r w:rsidRPr="00670A78">
              <w:rPr>
                <w:sz w:val="16"/>
              </w:rPr>
              <w:t xml:space="preserve">congestion </w:t>
            </w:r>
            <w:r w:rsidRPr="00670A78">
              <w:rPr>
                <w:sz w:val="16"/>
              </w:rPr>
              <w:t>用</w:t>
            </w:r>
            <w:r w:rsidRPr="00670A78">
              <w:rPr>
                <w:sz w:val="16"/>
              </w:rPr>
              <w:t xml:space="preserve"> %.</w:t>
            </w:r>
          </w:p>
        </w:tc>
      </w:tr>
      <w:tr w:rsidR="00670A78" w:rsidRPr="00670A78" w14:paraId="3F52B408" w14:textId="77777777">
        <w:trPr>
          <w:jc w:val="center"/>
        </w:trPr>
        <w:tc>
          <w:tcPr>
            <w:tcW w:w="3213" w:type="dxa"/>
            <w:vAlign w:val="center"/>
          </w:tcPr>
          <w:p w14:paraId="77A3C61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unit</w:t>
            </w:r>
          </w:p>
        </w:tc>
        <w:tc>
          <w:tcPr>
            <w:tcW w:w="3213" w:type="dxa"/>
            <w:vAlign w:val="center"/>
          </w:tcPr>
          <w:p w14:paraId="60F373B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min</w:t>
            </w:r>
          </w:p>
        </w:tc>
        <w:tc>
          <w:tcPr>
            <w:tcW w:w="3213" w:type="dxa"/>
            <w:vAlign w:val="center"/>
          </w:tcPr>
          <w:p w14:paraId="76ABFE9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min / km/h / %.</w:t>
            </w:r>
          </w:p>
        </w:tc>
      </w:tr>
      <w:tr w:rsidR="00670A78" w:rsidRPr="00670A78" w14:paraId="6415B110" w14:textId="77777777">
        <w:trPr>
          <w:jc w:val="center"/>
        </w:trPr>
        <w:tc>
          <w:tcPr>
            <w:tcW w:w="3213" w:type="dxa"/>
            <w:vAlign w:val="center"/>
          </w:tcPr>
          <w:p w14:paraId="62D17457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6"/>
              </w:rPr>
              <w:t>source_url</w:t>
            </w:r>
            <w:proofErr w:type="spellEnd"/>
          </w:p>
        </w:tc>
        <w:tc>
          <w:tcPr>
            <w:tcW w:w="3213" w:type="dxa"/>
            <w:vAlign w:val="center"/>
          </w:tcPr>
          <w:p w14:paraId="18691AD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TomTom page URL</w:t>
            </w:r>
          </w:p>
        </w:tc>
        <w:tc>
          <w:tcPr>
            <w:tcW w:w="3213" w:type="dxa"/>
            <w:vAlign w:val="center"/>
          </w:tcPr>
          <w:p w14:paraId="1337F09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来源。</w:t>
            </w:r>
          </w:p>
        </w:tc>
      </w:tr>
      <w:tr w:rsidR="00670A78" w:rsidRPr="00670A78" w14:paraId="2059CA63" w14:textId="77777777">
        <w:trPr>
          <w:jc w:val="center"/>
        </w:trPr>
        <w:tc>
          <w:tcPr>
            <w:tcW w:w="3213" w:type="dxa"/>
            <w:vAlign w:val="center"/>
          </w:tcPr>
          <w:p w14:paraId="2F369558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6"/>
              </w:rPr>
              <w:t>capture_date</w:t>
            </w:r>
            <w:proofErr w:type="spellEnd"/>
          </w:p>
        </w:tc>
        <w:tc>
          <w:tcPr>
            <w:tcW w:w="3213" w:type="dxa"/>
            <w:vAlign w:val="center"/>
          </w:tcPr>
          <w:p w14:paraId="5C0C255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2026-05-06</w:t>
            </w:r>
          </w:p>
        </w:tc>
        <w:tc>
          <w:tcPr>
            <w:tcW w:w="3213" w:type="dxa"/>
            <w:vAlign w:val="center"/>
          </w:tcPr>
          <w:p w14:paraId="5901425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采集日期。</w:t>
            </w:r>
          </w:p>
        </w:tc>
      </w:tr>
    </w:tbl>
    <w:p w14:paraId="2FB5EAD8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4.5 Data-cleaning rules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670A78" w:rsidRPr="00670A78" w14:paraId="4F3021DF" w14:textId="77777777">
        <w:trPr>
          <w:tblHeader/>
          <w:jc w:val="center"/>
        </w:trPr>
        <w:tc>
          <w:tcPr>
            <w:tcW w:w="3213" w:type="dxa"/>
            <w:shd w:val="clear" w:color="auto" w:fill="D9EAF7"/>
            <w:vAlign w:val="center"/>
          </w:tcPr>
          <w:p w14:paraId="70FF20C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Problem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0698867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Rule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246B9B4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Reason</w:t>
            </w:r>
          </w:p>
        </w:tc>
      </w:tr>
      <w:tr w:rsidR="00670A78" w:rsidRPr="00670A78" w14:paraId="7CE34303" w14:textId="77777777">
        <w:trPr>
          <w:jc w:val="center"/>
        </w:trPr>
        <w:tc>
          <w:tcPr>
            <w:tcW w:w="3213" w:type="dxa"/>
            <w:vAlign w:val="center"/>
          </w:tcPr>
          <w:p w14:paraId="04903B4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Travel time display text</w:t>
            </w:r>
          </w:p>
        </w:tc>
        <w:tc>
          <w:tcPr>
            <w:tcW w:w="3213" w:type="dxa"/>
            <w:vAlign w:val="center"/>
          </w:tcPr>
          <w:p w14:paraId="2C3E254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Convert '20 min 41 s' to seconds = 1241 and minutes = 20.683.</w:t>
            </w:r>
          </w:p>
        </w:tc>
        <w:tc>
          <w:tcPr>
            <w:tcW w:w="3213" w:type="dxa"/>
            <w:vAlign w:val="center"/>
          </w:tcPr>
          <w:p w14:paraId="6727CCA8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避免字符串无法计算。</w:t>
            </w:r>
          </w:p>
        </w:tc>
      </w:tr>
      <w:tr w:rsidR="00670A78" w:rsidRPr="00670A78" w14:paraId="35FAD2F2" w14:textId="77777777">
        <w:trPr>
          <w:jc w:val="center"/>
        </w:trPr>
        <w:tc>
          <w:tcPr>
            <w:tcW w:w="3213" w:type="dxa"/>
            <w:vAlign w:val="center"/>
          </w:tcPr>
          <w:p w14:paraId="358EBF3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Percent signs</w:t>
            </w:r>
          </w:p>
        </w:tc>
        <w:tc>
          <w:tcPr>
            <w:tcW w:w="3213" w:type="dxa"/>
            <w:vAlign w:val="center"/>
          </w:tcPr>
          <w:p w14:paraId="404A042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Store 39.5% as 39.5, not 0.395, unless explicitly naming ratio variables.</w:t>
            </w:r>
          </w:p>
        </w:tc>
        <w:tc>
          <w:tcPr>
            <w:tcW w:w="3213" w:type="dxa"/>
            <w:vAlign w:val="center"/>
          </w:tcPr>
          <w:p w14:paraId="728D68C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减少解释混乱。</w:t>
            </w:r>
          </w:p>
        </w:tc>
      </w:tr>
      <w:tr w:rsidR="00670A78" w:rsidRPr="00670A78" w14:paraId="10E5024D" w14:textId="77777777">
        <w:trPr>
          <w:jc w:val="center"/>
        </w:trPr>
        <w:tc>
          <w:tcPr>
            <w:tcW w:w="3213" w:type="dxa"/>
            <w:vAlign w:val="center"/>
          </w:tcPr>
          <w:p w14:paraId="727B709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Scale labels</w:t>
            </w:r>
          </w:p>
        </w:tc>
        <w:tc>
          <w:tcPr>
            <w:tcW w:w="3213" w:type="dxa"/>
            <w:vAlign w:val="center"/>
          </w:tcPr>
          <w:p w14:paraId="049B598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Use only City and Metro.</w:t>
            </w:r>
          </w:p>
        </w:tc>
        <w:tc>
          <w:tcPr>
            <w:tcW w:w="3213" w:type="dxa"/>
            <w:vAlign w:val="center"/>
          </w:tcPr>
          <w:p w14:paraId="56C64F8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保证可配对。</w:t>
            </w:r>
          </w:p>
        </w:tc>
      </w:tr>
      <w:tr w:rsidR="00670A78" w:rsidRPr="00670A78" w14:paraId="35CDF42A" w14:textId="77777777">
        <w:trPr>
          <w:jc w:val="center"/>
        </w:trPr>
        <w:tc>
          <w:tcPr>
            <w:tcW w:w="3213" w:type="dxa"/>
            <w:vAlign w:val="center"/>
          </w:tcPr>
          <w:p w14:paraId="3C95EFC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Distance</w:t>
            </w:r>
          </w:p>
        </w:tc>
        <w:tc>
          <w:tcPr>
            <w:tcW w:w="3213" w:type="dxa"/>
            <w:vAlign w:val="center"/>
          </w:tcPr>
          <w:p w14:paraId="5F1D95A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Use 10 km for all heatmap values.</w:t>
            </w:r>
          </w:p>
        </w:tc>
        <w:tc>
          <w:tcPr>
            <w:tcW w:w="3213" w:type="dxa"/>
            <w:vAlign w:val="center"/>
          </w:tcPr>
          <w:p w14:paraId="0D028C53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不同距离不能直接比较。</w:t>
            </w:r>
          </w:p>
        </w:tc>
      </w:tr>
      <w:tr w:rsidR="00670A78" w:rsidRPr="00670A78" w14:paraId="55DB10AF" w14:textId="77777777">
        <w:trPr>
          <w:jc w:val="center"/>
        </w:trPr>
        <w:tc>
          <w:tcPr>
            <w:tcW w:w="3213" w:type="dxa"/>
            <w:vAlign w:val="center"/>
          </w:tcPr>
          <w:p w14:paraId="391CC8F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Missing values</w:t>
            </w:r>
          </w:p>
        </w:tc>
        <w:tc>
          <w:tcPr>
            <w:tcW w:w="3213" w:type="dxa"/>
            <w:vAlign w:val="center"/>
          </w:tcPr>
          <w:p w14:paraId="2055D60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Do not interpolate TomTom page values unless stated as sensitivity check.</w:t>
            </w:r>
          </w:p>
        </w:tc>
        <w:tc>
          <w:tcPr>
            <w:tcW w:w="3213" w:type="dxa"/>
            <w:vAlign w:val="center"/>
          </w:tcPr>
          <w:p w14:paraId="180012B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避免伪造数据。</w:t>
            </w:r>
          </w:p>
        </w:tc>
      </w:tr>
      <w:tr w:rsidR="00670A78" w:rsidRPr="00670A78" w14:paraId="62BC099C" w14:textId="77777777">
        <w:trPr>
          <w:jc w:val="center"/>
        </w:trPr>
        <w:tc>
          <w:tcPr>
            <w:tcW w:w="3213" w:type="dxa"/>
            <w:vAlign w:val="center"/>
          </w:tcPr>
          <w:p w14:paraId="501BDC5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2024 vs 2025</w:t>
            </w:r>
          </w:p>
        </w:tc>
        <w:tc>
          <w:tcPr>
            <w:tcW w:w="3213" w:type="dxa"/>
            <w:vAlign w:val="center"/>
          </w:tcPr>
          <w:p w14:paraId="57E1F75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Keep year as a separate variable.</w:t>
            </w:r>
          </w:p>
        </w:tc>
        <w:tc>
          <w:tcPr>
            <w:tcW w:w="3213" w:type="dxa"/>
            <w:vAlign w:val="center"/>
          </w:tcPr>
          <w:p w14:paraId="12DA7B6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避免混合年度。</w:t>
            </w:r>
          </w:p>
        </w:tc>
      </w:tr>
    </w:tbl>
    <w:p w14:paraId="62C9898D" w14:textId="77777777" w:rsidR="00E42F89" w:rsidRPr="00670A78" w:rsidRDefault="00000000">
      <w:pPr>
        <w:pStyle w:val="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5. Analytical framework and equations</w:t>
      </w:r>
    </w:p>
    <w:p w14:paraId="68AEC4EE" w14:textId="77777777" w:rsidR="00E42F89" w:rsidRPr="00670A78" w:rsidRDefault="00000000">
      <w:pPr>
        <w:rPr>
          <w:lang w:eastAsia="zh-CN"/>
        </w:rPr>
      </w:pPr>
      <w:r w:rsidRPr="00670A78">
        <w:rPr>
          <w:lang w:eastAsia="zh-CN"/>
        </w:rPr>
        <w:t>本文的方法框架应从低风险描述性比较逐步推进到方法论诊断。顺序为：</w:t>
      </w:r>
      <w:r w:rsidRPr="00670A78">
        <w:rPr>
          <w:lang w:eastAsia="zh-CN"/>
        </w:rPr>
        <w:t>paired data construction → gap and ratio → normalised difference → ranking instability → agreement analysis → temporal heatmap analysis → exploratory typology</w:t>
      </w:r>
      <w:r w:rsidRPr="00670A78">
        <w:rPr>
          <w:lang w:eastAsia="zh-CN"/>
        </w:rPr>
        <w:t>。</w:t>
      </w:r>
    </w:p>
    <w:p w14:paraId="13C5CF15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5.1 City–metro gap</w:t>
      </w:r>
    </w:p>
    <w:p w14:paraId="26A60C55" w14:textId="77777777" w:rsidR="00E42F89" w:rsidRPr="00670A78" w:rsidRDefault="00000000">
      <w:pPr>
        <w:jc w:val="center"/>
      </w:pPr>
      <w:r w:rsidRPr="00670A78">
        <w:rPr>
          <w:rFonts w:ascii="Cambria Math" w:hAnsi="Cambria Math"/>
        </w:rPr>
        <w:t>CMG(i,k) = X_city(i,k) - X_metro(i,k)</w:t>
      </w:r>
    </w:p>
    <w:p w14:paraId="4B33D918" w14:textId="77777777" w:rsidR="00E42F89" w:rsidRPr="00670A78" w:rsidRDefault="00000000">
      <w:pPr>
        <w:pStyle w:val="af7"/>
        <w:rPr>
          <w:color w:val="auto"/>
        </w:rPr>
      </w:pPr>
      <w:r w:rsidRPr="00670A78">
        <w:rPr>
          <w:b w:val="0"/>
          <w:i w:val="0"/>
          <w:color w:val="auto"/>
        </w:rPr>
        <w:t>where i denotes city and k denotes a traffic-performance indicator.</w:t>
      </w:r>
    </w:p>
    <w:p w14:paraId="1F1C3ABF" w14:textId="77777777" w:rsidR="00E42F89" w:rsidRPr="00670A78" w:rsidRDefault="00000000">
      <w:r w:rsidRPr="00670A78">
        <w:t>解释：对</w:t>
      </w:r>
      <w:r w:rsidRPr="00670A78">
        <w:t xml:space="preserve"> congestion </w:t>
      </w:r>
      <w:r w:rsidRPr="00670A78">
        <w:t>和</w:t>
      </w:r>
      <w:r w:rsidRPr="00670A78">
        <w:t xml:space="preserve"> TT10</w:t>
      </w:r>
      <w:r w:rsidRPr="00670A78">
        <w:t>，正值通常表示</w:t>
      </w:r>
      <w:r w:rsidRPr="00670A78">
        <w:t xml:space="preserve"> City </w:t>
      </w:r>
      <w:r w:rsidRPr="00670A78">
        <w:t>比</w:t>
      </w:r>
      <w:r w:rsidRPr="00670A78">
        <w:t xml:space="preserve"> Metro </w:t>
      </w:r>
      <w:r w:rsidRPr="00670A78">
        <w:t>更高或更慢；对</w:t>
      </w:r>
      <w:r w:rsidRPr="00670A78">
        <w:t xml:space="preserve"> speed</w:t>
      </w:r>
      <w:r w:rsidRPr="00670A78">
        <w:t>，负值通常表示</w:t>
      </w:r>
      <w:r w:rsidRPr="00670A78">
        <w:t xml:space="preserve"> City </w:t>
      </w:r>
      <w:r w:rsidRPr="00670A78">
        <w:t>比</w:t>
      </w:r>
      <w:r w:rsidRPr="00670A78">
        <w:t xml:space="preserve"> Metro </w:t>
      </w:r>
      <w:r w:rsidRPr="00670A78">
        <w:t>更慢。</w:t>
      </w:r>
    </w:p>
    <w:p w14:paraId="190680BD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5.2 Scaling ratio</w:t>
      </w:r>
    </w:p>
    <w:p w14:paraId="298593D9" w14:textId="77777777" w:rsidR="00E42F89" w:rsidRPr="00670A78" w:rsidRDefault="00000000">
      <w:pPr>
        <w:jc w:val="center"/>
      </w:pPr>
      <w:r w:rsidRPr="00670A78">
        <w:rPr>
          <w:rFonts w:ascii="Cambria Math" w:hAnsi="Cambria Math"/>
        </w:rPr>
        <w:t>CSR(i,k) = X_city(i,k) / X_metro(i,k)</w:t>
      </w:r>
    </w:p>
    <w:p w14:paraId="0485C6B9" w14:textId="77777777" w:rsidR="00E42F89" w:rsidRPr="00670A78" w:rsidRDefault="00000000">
      <w:pPr>
        <w:rPr>
          <w:lang w:eastAsia="zh-CN"/>
        </w:rPr>
      </w:pPr>
      <w:r w:rsidRPr="00670A78">
        <w:rPr>
          <w:lang w:eastAsia="zh-CN"/>
        </w:rPr>
        <w:t xml:space="preserve">ratio </w:t>
      </w:r>
      <w:r w:rsidRPr="00670A78">
        <w:rPr>
          <w:lang w:eastAsia="zh-CN"/>
        </w:rPr>
        <w:t>用于稳健性检查，尤其适合比较不同量纲指标。主文建议报告</w:t>
      </w:r>
      <w:r w:rsidRPr="00670A78">
        <w:rPr>
          <w:lang w:eastAsia="zh-CN"/>
        </w:rPr>
        <w:t xml:space="preserve"> gap</w:t>
      </w:r>
      <w:r w:rsidRPr="00670A78">
        <w:rPr>
          <w:lang w:eastAsia="zh-CN"/>
        </w:rPr>
        <w:t>，附录报告</w:t>
      </w:r>
      <w:r w:rsidRPr="00670A78">
        <w:rPr>
          <w:lang w:eastAsia="zh-CN"/>
        </w:rPr>
        <w:t xml:space="preserve"> ratio</w:t>
      </w:r>
      <w:r w:rsidRPr="00670A78">
        <w:rPr>
          <w:lang w:eastAsia="zh-CN"/>
        </w:rPr>
        <w:t>。</w:t>
      </w:r>
    </w:p>
    <w:p w14:paraId="1B256759" w14:textId="77777777" w:rsidR="00E42F89" w:rsidRPr="00670A78" w:rsidRDefault="00000000">
      <w:pPr>
        <w:pStyle w:val="21"/>
        <w:rPr>
          <w:color w:val="auto"/>
          <w:lang w:eastAsia="zh-CN"/>
        </w:rPr>
      </w:pPr>
      <w:r w:rsidRPr="00670A78">
        <w:rPr>
          <w:rFonts w:ascii="Times New Roman" w:eastAsia="Noto Sans CJK SC" w:hAnsi="Times New Roman"/>
          <w:b w:val="0"/>
          <w:color w:val="auto"/>
          <w:lang w:eastAsia="zh-CN"/>
        </w:rPr>
        <w:t>5.3 Normalised city–metro difference</w:t>
      </w:r>
    </w:p>
    <w:p w14:paraId="04FA8765" w14:textId="77777777" w:rsidR="00E42F89" w:rsidRPr="00670A78" w:rsidRDefault="00000000">
      <w:pPr>
        <w:jc w:val="center"/>
        <w:rPr>
          <w:lang w:eastAsia="zh-CN"/>
        </w:rPr>
      </w:pPr>
      <w:r w:rsidRPr="00670A78">
        <w:rPr>
          <w:rFonts w:ascii="Cambria Math" w:hAnsi="Cambria Math"/>
          <w:lang w:eastAsia="zh-CN"/>
        </w:rPr>
        <w:t>ND(i,k) = [X_city(i,k) - X_metro(i,k)] / mean[X_city(i,k), X_metro(i,k)] × 100</w:t>
      </w:r>
    </w:p>
    <w:p w14:paraId="1A28DACD" w14:textId="77777777" w:rsidR="00E42F89" w:rsidRPr="00670A78" w:rsidRDefault="00000000">
      <w:r w:rsidRPr="00670A78">
        <w:t xml:space="preserve">normalised difference </w:t>
      </w:r>
      <w:r w:rsidRPr="00670A78">
        <w:t>是本文最重要的跨指标比较指标。它可以将</w:t>
      </w:r>
      <w:r w:rsidRPr="00670A78">
        <w:t xml:space="preserve"> travel time</w:t>
      </w:r>
      <w:r w:rsidRPr="00670A78">
        <w:t>、</w:t>
      </w:r>
      <w:r w:rsidRPr="00670A78">
        <w:t>speed</w:t>
      </w:r>
      <w:r w:rsidRPr="00670A78">
        <w:t>、</w:t>
      </w:r>
      <w:r w:rsidRPr="00670A78">
        <w:t xml:space="preserve">congestion </w:t>
      </w:r>
      <w:r w:rsidRPr="00670A78">
        <w:t>转成可比较的百分比差异。</w:t>
      </w:r>
    </w:p>
    <w:p w14:paraId="2C5EAB4A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5.4 Indicator sensitivity index</w:t>
      </w:r>
    </w:p>
    <w:p w14:paraId="46DDEDEE" w14:textId="77777777" w:rsidR="00E42F89" w:rsidRPr="00670A78" w:rsidRDefault="00000000">
      <w:pPr>
        <w:jc w:val="center"/>
      </w:pPr>
      <w:r w:rsidRPr="00670A78">
        <w:rPr>
          <w:rFonts w:ascii="Cambria Math" w:hAnsi="Cambria Math"/>
        </w:rPr>
        <w:t>ISI(k) = mean over cities of |ND(i,k)|</w:t>
      </w:r>
    </w:p>
    <w:p w14:paraId="4AFD9834" w14:textId="77777777" w:rsidR="00E42F89" w:rsidRPr="00670A78" w:rsidRDefault="00000000">
      <w:r w:rsidRPr="00670A78">
        <w:t xml:space="preserve">ISI </w:t>
      </w:r>
      <w:r w:rsidRPr="00670A78">
        <w:t>越大，说明指标</w:t>
      </w:r>
      <w:r w:rsidRPr="00670A78">
        <w:t xml:space="preserve"> k </w:t>
      </w:r>
      <w:r w:rsidRPr="00670A78">
        <w:t>对</w:t>
      </w:r>
      <w:r w:rsidRPr="00670A78">
        <w:t xml:space="preserve"> city–metro </w:t>
      </w:r>
      <w:r w:rsidRPr="00670A78">
        <w:t>尺度变化越敏感。该指标用于回答</w:t>
      </w:r>
      <w:r w:rsidRPr="00670A78">
        <w:t xml:space="preserve"> RQ2</w:t>
      </w:r>
      <w:r w:rsidRPr="00670A78">
        <w:t>。</w:t>
      </w:r>
    </w:p>
    <w:p w14:paraId="7DC4ED6F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5.5 Ranking instability</w:t>
      </w:r>
    </w:p>
    <w:p w14:paraId="06D5C6C5" w14:textId="77777777" w:rsidR="00E42F89" w:rsidRPr="00670A78" w:rsidRDefault="00000000">
      <w:pPr>
        <w:jc w:val="center"/>
      </w:pPr>
      <w:r w:rsidRPr="00670A78">
        <w:rPr>
          <w:rFonts w:ascii="Cambria Math" w:hAnsi="Cambria Math"/>
        </w:rPr>
        <w:t>RD(i,k) = Rank_city(i,k) - Rank_metro(i,k)</w:t>
      </w:r>
    </w:p>
    <w:p w14:paraId="52372864" w14:textId="77777777" w:rsidR="00E42F89" w:rsidRPr="00670A78" w:rsidRDefault="00000000">
      <w:pPr>
        <w:jc w:val="center"/>
      </w:pPr>
      <w:r w:rsidRPr="00670A78">
        <w:rPr>
          <w:rFonts w:ascii="Cambria Math" w:hAnsi="Cambria Math"/>
        </w:rPr>
        <w:t>ARS(i,k) = |Rank_city(i,k) - Rank_metro(i,k)|</w:t>
      </w:r>
    </w:p>
    <w:p w14:paraId="29156057" w14:textId="77777777" w:rsidR="00E42F89" w:rsidRPr="00670A78" w:rsidRDefault="00000000">
      <w:r w:rsidRPr="00670A78">
        <w:t>排序方向必须清楚：对于</w:t>
      </w:r>
      <w:r w:rsidRPr="00670A78">
        <w:t xml:space="preserve"> congestion </w:t>
      </w:r>
      <w:r w:rsidRPr="00670A78">
        <w:t>和</w:t>
      </w:r>
      <w:r w:rsidRPr="00670A78">
        <w:t xml:space="preserve"> TT10</w:t>
      </w:r>
      <w:r w:rsidRPr="00670A78">
        <w:t>，数值越高通常排名越靠前；对于</w:t>
      </w:r>
      <w:r w:rsidRPr="00670A78">
        <w:t xml:space="preserve"> speed</w:t>
      </w:r>
      <w:r w:rsidRPr="00670A78">
        <w:t>，数值越低可定义为</w:t>
      </w:r>
      <w:r w:rsidRPr="00670A78">
        <w:t xml:space="preserve"> performance burden </w:t>
      </w:r>
      <w:r w:rsidRPr="00670A78">
        <w:t>更高。建议统一成</w:t>
      </w:r>
      <w:r w:rsidRPr="00670A78">
        <w:t xml:space="preserve"> burden direction </w:t>
      </w:r>
      <w:r w:rsidRPr="00670A78">
        <w:t>后再排名。</w:t>
      </w:r>
    </w:p>
    <w:p w14:paraId="341DC58B" w14:textId="77777777" w:rsidR="00E42F89" w:rsidRPr="00670A78" w:rsidRDefault="00000000">
      <w:r w:rsidRPr="00670A78">
        <w:t xml:space="preserve">Spearman rho </w:t>
      </w:r>
      <w:r w:rsidRPr="00670A78">
        <w:t>和</w:t>
      </w:r>
      <w:r w:rsidRPr="00670A78">
        <w:t xml:space="preserve"> Kendall tau </w:t>
      </w:r>
      <w:r w:rsidRPr="00670A78">
        <w:t>仅作为</w:t>
      </w:r>
      <w:r w:rsidRPr="00670A78">
        <w:t xml:space="preserve"> descriptive rank-consistency measures</w:t>
      </w:r>
      <w:r w:rsidRPr="00670A78">
        <w:t>，不强调</w:t>
      </w:r>
      <w:r w:rsidRPr="00670A78">
        <w:t xml:space="preserve"> p-value</w:t>
      </w:r>
      <w:r w:rsidRPr="00670A78">
        <w:t>。因为</w:t>
      </w:r>
      <w:r w:rsidRPr="00670A78">
        <w:t xml:space="preserve"> n = 7</w:t>
      </w:r>
      <w:r w:rsidRPr="00670A78">
        <w:t>，统计显著性不应作为主要结论基础。</w:t>
      </w:r>
    </w:p>
    <w:p w14:paraId="75303A76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lastRenderedPageBreak/>
        <w:t>5.6 Bland–Altman agreement analysis</w:t>
      </w:r>
    </w:p>
    <w:p w14:paraId="563FC052" w14:textId="77777777" w:rsidR="00E42F89" w:rsidRPr="00670A78" w:rsidRDefault="00000000">
      <w:pPr>
        <w:jc w:val="center"/>
      </w:pPr>
      <w:r w:rsidRPr="00670A78">
        <w:rPr>
          <w:rFonts w:ascii="Cambria Math" w:hAnsi="Cambria Math"/>
        </w:rPr>
        <w:t>M(i,k) = [X_city(i,k) + X_metro(i,k)] / 2</w:t>
      </w:r>
    </w:p>
    <w:p w14:paraId="66C1E294" w14:textId="77777777" w:rsidR="00E42F89" w:rsidRPr="00670A78" w:rsidRDefault="00000000">
      <w:pPr>
        <w:jc w:val="center"/>
      </w:pPr>
      <w:r w:rsidRPr="00670A78">
        <w:rPr>
          <w:rFonts w:ascii="Cambria Math" w:hAnsi="Cambria Math"/>
        </w:rPr>
        <w:t>D(i,k) = X_city(i,k) - X_metro(i,k)</w:t>
      </w:r>
    </w:p>
    <w:p w14:paraId="371E2AF9" w14:textId="77777777" w:rsidR="00E42F89" w:rsidRPr="00670A78" w:rsidRDefault="00000000">
      <w:r w:rsidRPr="00670A78">
        <w:t xml:space="preserve">Bland–Altman plots </w:t>
      </w:r>
      <w:r w:rsidRPr="00670A78">
        <w:t>用于判断</w:t>
      </w:r>
      <w:r w:rsidRPr="00670A78">
        <w:t xml:space="preserve"> City </w:t>
      </w:r>
      <w:r w:rsidRPr="00670A78">
        <w:t>和</w:t>
      </w:r>
      <w:r w:rsidRPr="00670A78">
        <w:t xml:space="preserve"> Metro </w:t>
      </w:r>
      <w:r w:rsidRPr="00670A78">
        <w:t>两种报告尺度是否存在系统性差异。它不是因果模型，而是</w:t>
      </w:r>
      <w:r w:rsidRPr="00670A78">
        <w:t xml:space="preserve"> agreement diagnostic</w:t>
      </w:r>
      <w:r w:rsidRPr="00670A78">
        <w:t>。建议至少画</w:t>
      </w:r>
      <w:r w:rsidRPr="00670A78">
        <w:t xml:space="preserve"> congestion</w:t>
      </w:r>
      <w:r w:rsidRPr="00670A78">
        <w:t>、</w:t>
      </w:r>
      <w:r w:rsidRPr="00670A78">
        <w:t xml:space="preserve">TT10 </w:t>
      </w:r>
      <w:r w:rsidRPr="00670A78">
        <w:t>和</w:t>
      </w:r>
      <w:r w:rsidRPr="00670A78">
        <w:t xml:space="preserve"> speed </w:t>
      </w:r>
      <w:r w:rsidRPr="00670A78">
        <w:t>三个指标。</w:t>
      </w:r>
    </w:p>
    <w:p w14:paraId="1B6358D1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5.7 AM/PM peak metrics</w:t>
      </w:r>
    </w:p>
    <w:p w14:paraId="4D5312E8" w14:textId="77777777" w:rsidR="00E42F89" w:rsidRPr="00670A78" w:rsidRDefault="00000000">
      <w:pPr>
        <w:jc w:val="center"/>
      </w:pPr>
      <w:r w:rsidRPr="00670A78">
        <w:rPr>
          <w:rFonts w:ascii="Cambria Math" w:hAnsi="Cambria Math"/>
        </w:rPr>
        <w:t>AMTT(i,s) = mean of TT(i,s,t) during AM peak</w:t>
      </w:r>
    </w:p>
    <w:p w14:paraId="070924FA" w14:textId="77777777" w:rsidR="00E42F89" w:rsidRPr="00670A78" w:rsidRDefault="00000000">
      <w:pPr>
        <w:jc w:val="center"/>
      </w:pPr>
      <w:r w:rsidRPr="00670A78">
        <w:rPr>
          <w:rFonts w:ascii="Cambria Math" w:hAnsi="Cambria Math"/>
        </w:rPr>
        <w:t>PMTT(i,s) = mean of TT(i,s,t) during PM peak</w:t>
      </w:r>
    </w:p>
    <w:p w14:paraId="04DC445F" w14:textId="77777777" w:rsidR="00E42F89" w:rsidRPr="00670A78" w:rsidRDefault="00000000">
      <w:pPr>
        <w:jc w:val="center"/>
      </w:pPr>
      <w:r w:rsidRPr="00670A78">
        <w:rPr>
          <w:rFonts w:ascii="Cambria Math" w:hAnsi="Cambria Math"/>
        </w:rPr>
        <w:t>PAI(i,s) = [PMTT(i,s) - AMTT(i,s)] / mean[PMTT(i,s), AMTT(i,s)]</w:t>
      </w:r>
    </w:p>
    <w:p w14:paraId="113790CF" w14:textId="77777777" w:rsidR="00E42F89" w:rsidRPr="00670A78" w:rsidRDefault="00000000">
      <w:pPr>
        <w:jc w:val="center"/>
      </w:pPr>
      <w:r w:rsidRPr="00670A78">
        <w:rPr>
          <w:rFonts w:ascii="Cambria Math" w:hAnsi="Cambria Math"/>
        </w:rPr>
        <w:t>Delta_PAI(i) = PAI(i,City) - PAI(i,Metro)</w:t>
      </w:r>
    </w:p>
    <w:p w14:paraId="1BBB13B1" w14:textId="77777777" w:rsidR="00E42F89" w:rsidRPr="00670A78" w:rsidRDefault="00000000">
      <w:r w:rsidRPr="00670A78">
        <w:t xml:space="preserve">AM peak </w:t>
      </w:r>
      <w:r w:rsidRPr="00670A78">
        <w:t>建议定义为</w:t>
      </w:r>
      <w:r w:rsidRPr="00670A78">
        <w:t xml:space="preserve"> 07:00–09:00</w:t>
      </w:r>
      <w:r w:rsidRPr="00670A78">
        <w:t>；</w:t>
      </w:r>
      <w:r w:rsidRPr="00670A78">
        <w:t xml:space="preserve">PM peak </w:t>
      </w:r>
      <w:r w:rsidRPr="00670A78">
        <w:t>建议定义为</w:t>
      </w:r>
      <w:r w:rsidRPr="00670A78">
        <w:t xml:space="preserve"> 17:00–19:00</w:t>
      </w:r>
      <w:r w:rsidRPr="00670A78">
        <w:t>。若</w:t>
      </w:r>
      <w:r w:rsidRPr="00670A78">
        <w:t xml:space="preserve"> TomTom </w:t>
      </w:r>
      <w:r w:rsidRPr="00670A78">
        <w:t>页面已有官方</w:t>
      </w:r>
      <w:r w:rsidRPr="00670A78">
        <w:t xml:space="preserve"> morning/evening rush hour summary</w:t>
      </w:r>
      <w:r w:rsidRPr="00670A78">
        <w:t>，优先采官方</w:t>
      </w:r>
      <w:r w:rsidRPr="00670A78">
        <w:t xml:space="preserve"> summary</w:t>
      </w:r>
      <w:r w:rsidRPr="00670A78">
        <w:t>；</w:t>
      </w:r>
      <w:r w:rsidRPr="00670A78">
        <w:t xml:space="preserve">heatmap </w:t>
      </w:r>
      <w:r w:rsidRPr="00670A78">
        <w:t>用于补充验证。</w:t>
      </w:r>
    </w:p>
    <w:p w14:paraId="72EF3381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5.8 Temporal difference heatmap</w:t>
      </w:r>
    </w:p>
    <w:p w14:paraId="5D97E3A2" w14:textId="77777777" w:rsidR="00E42F89" w:rsidRPr="00670A78" w:rsidRDefault="00000000">
      <w:pPr>
        <w:jc w:val="center"/>
      </w:pPr>
      <w:r w:rsidRPr="00670A78">
        <w:rPr>
          <w:rFonts w:ascii="Cambria Math" w:hAnsi="Cambria Math"/>
        </w:rPr>
        <w:t>TD(i,d,h,k) = X_city(i,d,h,k) - X_metro(i,d,h,k)</w:t>
      </w:r>
    </w:p>
    <w:p w14:paraId="27049CCA" w14:textId="77777777" w:rsidR="00E42F89" w:rsidRPr="00670A78" w:rsidRDefault="00000000">
      <w:r w:rsidRPr="00670A78">
        <w:t>其中</w:t>
      </w:r>
      <w:r w:rsidRPr="00670A78">
        <w:t xml:space="preserve"> d </w:t>
      </w:r>
      <w:r w:rsidRPr="00670A78">
        <w:t>是</w:t>
      </w:r>
      <w:r w:rsidRPr="00670A78">
        <w:t xml:space="preserve"> weekday</w:t>
      </w:r>
      <w:r w:rsidRPr="00670A78">
        <w:t>，</w:t>
      </w:r>
      <w:r w:rsidRPr="00670A78">
        <w:t xml:space="preserve">h </w:t>
      </w:r>
      <w:r w:rsidRPr="00670A78">
        <w:t>是</w:t>
      </w:r>
      <w:r w:rsidRPr="00670A78">
        <w:t xml:space="preserve"> hour</w:t>
      </w:r>
      <w:r w:rsidRPr="00670A78">
        <w:t>。该指标可显示哪些时段</w:t>
      </w:r>
      <w:r w:rsidRPr="00670A78">
        <w:t xml:space="preserve"> City </w:t>
      </w:r>
      <w:r w:rsidRPr="00670A78">
        <w:t>比</w:t>
      </w:r>
      <w:r w:rsidRPr="00670A78">
        <w:t xml:space="preserve"> Metro </w:t>
      </w:r>
      <w:r w:rsidRPr="00670A78">
        <w:t>更慢、更堵或速度更低。图上建议用</w:t>
      </w:r>
      <w:r w:rsidRPr="00670A78">
        <w:t xml:space="preserve"> diverging colour scale</w:t>
      </w:r>
      <w:r w:rsidRPr="00670A78">
        <w:t>：正值与负值分开显示。</w:t>
      </w:r>
    </w:p>
    <w:p w14:paraId="76FFAA2D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5.9 Exploratory typology</w:t>
      </w:r>
    </w:p>
    <w:p w14:paraId="49307469" w14:textId="77777777" w:rsidR="00E42F89" w:rsidRPr="00670A78" w:rsidRDefault="00000000">
      <w:r w:rsidRPr="00670A78">
        <w:t>类型学不是强分类模型。建议使用</w:t>
      </w:r>
      <w:r w:rsidRPr="00670A78">
        <w:t xml:space="preserve"> z-score </w:t>
      </w:r>
      <w:r w:rsidRPr="00670A78">
        <w:t>标准化后的变量：</w:t>
      </w:r>
      <w:r w:rsidRPr="00670A78">
        <w:t>congestion ND</w:t>
      </w:r>
      <w:r w:rsidRPr="00670A78">
        <w:t>、</w:t>
      </w:r>
      <w:r w:rsidRPr="00670A78">
        <w:t>TT10 ND</w:t>
      </w:r>
      <w:r w:rsidRPr="00670A78">
        <w:t>、</w:t>
      </w:r>
      <w:r w:rsidRPr="00670A78">
        <w:t>speed ND</w:t>
      </w:r>
      <w:r w:rsidRPr="00670A78">
        <w:t>、</w:t>
      </w:r>
      <w:r w:rsidRPr="00670A78">
        <w:t>absolute rank shift</w:t>
      </w:r>
      <w:r w:rsidRPr="00670A78">
        <w:t>、</w:t>
      </w:r>
      <w:r w:rsidRPr="00670A78">
        <w:t>PAI gap</w:t>
      </w:r>
      <w:r w:rsidRPr="00670A78">
        <w:t>、</w:t>
      </w:r>
      <w:r w:rsidRPr="00670A78">
        <w:t xml:space="preserve">high-capacity road share </w:t>
      </w:r>
      <w:r w:rsidRPr="00670A78">
        <w:t>和</w:t>
      </w:r>
      <w:r w:rsidRPr="00670A78">
        <w:t xml:space="preserve"> road density</w:t>
      </w:r>
      <w:r w:rsidRPr="00670A78">
        <w:t>。方法为</w:t>
      </w:r>
      <w:r w:rsidRPr="00670A78">
        <w:t xml:space="preserve"> Euclidean distance + Ward linkage</w:t>
      </w:r>
      <w:r w:rsidRPr="00670A78">
        <w:t>，结果称为</w:t>
      </w:r>
      <w:r w:rsidRPr="00670A78">
        <w:t xml:space="preserve"> exploratory traffic-performance regimes</w:t>
      </w:r>
      <w:r w:rsidRPr="00670A78">
        <w:t>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70A78" w:rsidRPr="00670A78" w14:paraId="464A0350" w14:textId="77777777">
        <w:trPr>
          <w:tblHeader/>
          <w:jc w:val="center"/>
        </w:trPr>
        <w:tc>
          <w:tcPr>
            <w:tcW w:w="3213" w:type="dxa"/>
            <w:shd w:val="clear" w:color="auto" w:fill="D9EAF7"/>
            <w:vAlign w:val="center"/>
          </w:tcPr>
          <w:p w14:paraId="62EEC7E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Regime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7D78722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Expected pattern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10C08F6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Interpretation</w:t>
            </w:r>
          </w:p>
        </w:tc>
      </w:tr>
      <w:tr w:rsidR="00670A78" w:rsidRPr="00670A78" w14:paraId="0CEEAE26" w14:textId="77777777">
        <w:trPr>
          <w:jc w:val="center"/>
        </w:trPr>
        <w:tc>
          <w:tcPr>
            <w:tcW w:w="3213" w:type="dxa"/>
            <w:vAlign w:val="center"/>
          </w:tcPr>
          <w:p w14:paraId="206DE3F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Type I: Core-dominant congestion</w:t>
            </w:r>
          </w:p>
        </w:tc>
        <w:tc>
          <w:tcPr>
            <w:tcW w:w="3213" w:type="dxa"/>
            <w:vAlign w:val="center"/>
          </w:tcPr>
          <w:p w14:paraId="32CE39C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 TT10 and congestion substantially higher than Metro.</w:t>
            </w:r>
          </w:p>
        </w:tc>
        <w:tc>
          <w:tcPr>
            <w:tcW w:w="3213" w:type="dxa"/>
            <w:vAlign w:val="center"/>
          </w:tcPr>
          <w:p w14:paraId="2C8BDECA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中心城区交通负担突出。</w:t>
            </w:r>
          </w:p>
        </w:tc>
      </w:tr>
      <w:tr w:rsidR="00670A78" w:rsidRPr="00670A78" w14:paraId="62BA2395" w14:textId="77777777">
        <w:trPr>
          <w:jc w:val="center"/>
        </w:trPr>
        <w:tc>
          <w:tcPr>
            <w:tcW w:w="3213" w:type="dxa"/>
            <w:vAlign w:val="center"/>
          </w:tcPr>
          <w:p w14:paraId="3B9B953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Type II: Metro-wide mobility burden</w:t>
            </w:r>
          </w:p>
        </w:tc>
        <w:tc>
          <w:tcPr>
            <w:tcW w:w="3213" w:type="dxa"/>
            <w:vAlign w:val="center"/>
          </w:tcPr>
          <w:p w14:paraId="5AB8154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Metro indicators are similar to or worse than City, especially during peaks.</w:t>
            </w:r>
          </w:p>
        </w:tc>
        <w:tc>
          <w:tcPr>
            <w:tcW w:w="3213" w:type="dxa"/>
            <w:vAlign w:val="center"/>
          </w:tcPr>
          <w:p w14:paraId="63161F42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区域通勤和外围走廊压力明显。</w:t>
            </w:r>
          </w:p>
        </w:tc>
      </w:tr>
      <w:tr w:rsidR="00670A78" w:rsidRPr="00670A78" w14:paraId="2EA96B8B" w14:textId="77777777">
        <w:trPr>
          <w:jc w:val="center"/>
        </w:trPr>
        <w:tc>
          <w:tcPr>
            <w:tcW w:w="3213" w:type="dxa"/>
            <w:vAlign w:val="center"/>
          </w:tcPr>
          <w:p w14:paraId="19F3E79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Type III: Scale-stable condition</w:t>
            </w:r>
          </w:p>
        </w:tc>
        <w:tc>
          <w:tcPr>
            <w:tcW w:w="3213" w:type="dxa"/>
            <w:vAlign w:val="center"/>
          </w:tcPr>
          <w:p w14:paraId="3D086B3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City–Metro gaps are small and rankings remain stable.</w:t>
            </w:r>
          </w:p>
        </w:tc>
        <w:tc>
          <w:tcPr>
            <w:tcW w:w="3213" w:type="dxa"/>
            <w:vAlign w:val="center"/>
          </w:tcPr>
          <w:p w14:paraId="0706E5C5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尺度选择对诊断影响较小。</w:t>
            </w:r>
          </w:p>
        </w:tc>
      </w:tr>
    </w:tbl>
    <w:p w14:paraId="348F7715" w14:textId="77777777" w:rsidR="00E42F89" w:rsidRPr="00670A78" w:rsidRDefault="00000000">
      <w:pPr>
        <w:pStyle w:val="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6. Figure and table package</w:t>
      </w:r>
    </w:p>
    <w:p w14:paraId="7ED83452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6.1 Recommended figures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5"/>
      </w:tblGrid>
      <w:tr w:rsidR="00670A78" w:rsidRPr="00670A78" w14:paraId="5224BCC3" w14:textId="77777777">
        <w:trPr>
          <w:tblHeader/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475C29D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4"/>
              </w:rPr>
              <w:t>Figure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35BF220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4"/>
              </w:rPr>
              <w:t>Title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008A6F5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4"/>
              </w:rPr>
              <w:t>Graph type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59DD566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4"/>
              </w:rPr>
              <w:t>Data required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1B48C7C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4"/>
              </w:rPr>
              <w:t>Main message</w:t>
            </w:r>
          </w:p>
        </w:tc>
      </w:tr>
      <w:tr w:rsidR="00670A78" w:rsidRPr="00670A78" w14:paraId="2EC0123F" w14:textId="77777777">
        <w:trPr>
          <w:jc w:val="center"/>
        </w:trPr>
        <w:tc>
          <w:tcPr>
            <w:tcW w:w="1928" w:type="dxa"/>
            <w:vAlign w:val="center"/>
          </w:tcPr>
          <w:p w14:paraId="666A69C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Fig. 1</w:t>
            </w:r>
          </w:p>
        </w:tc>
        <w:tc>
          <w:tcPr>
            <w:tcW w:w="1928" w:type="dxa"/>
            <w:vAlign w:val="center"/>
          </w:tcPr>
          <w:p w14:paraId="1B6877B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Conceptual framework of city–metro scale sensitivity</w:t>
            </w:r>
          </w:p>
        </w:tc>
        <w:tc>
          <w:tcPr>
            <w:tcW w:w="1928" w:type="dxa"/>
            <w:vAlign w:val="center"/>
          </w:tcPr>
          <w:p w14:paraId="11C6915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Analytical framework diagram</w:t>
            </w:r>
          </w:p>
        </w:tc>
        <w:tc>
          <w:tcPr>
            <w:tcW w:w="1928" w:type="dxa"/>
            <w:vAlign w:val="center"/>
          </w:tcPr>
          <w:p w14:paraId="09C1630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No empirical data</w:t>
            </w:r>
          </w:p>
        </w:tc>
        <w:tc>
          <w:tcPr>
            <w:tcW w:w="1928" w:type="dxa"/>
            <w:vAlign w:val="center"/>
          </w:tcPr>
          <w:p w14:paraId="5B001F5D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4"/>
                <w:lang w:eastAsia="zh-CN"/>
              </w:rPr>
              <w:t>从单一排名转向尺度敏感性诊断。</w:t>
            </w:r>
          </w:p>
        </w:tc>
      </w:tr>
      <w:tr w:rsidR="00670A78" w:rsidRPr="00670A78" w14:paraId="650A8F74" w14:textId="77777777">
        <w:trPr>
          <w:jc w:val="center"/>
        </w:trPr>
        <w:tc>
          <w:tcPr>
            <w:tcW w:w="1928" w:type="dxa"/>
            <w:vAlign w:val="center"/>
          </w:tcPr>
          <w:p w14:paraId="1988BE1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Fig. 2</w:t>
            </w:r>
          </w:p>
        </w:tc>
        <w:tc>
          <w:tcPr>
            <w:tcW w:w="1928" w:type="dxa"/>
            <w:vAlign w:val="center"/>
          </w:tcPr>
          <w:p w14:paraId="2DF19C4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Study area and paired city–metro data structure</w:t>
            </w:r>
          </w:p>
        </w:tc>
        <w:tc>
          <w:tcPr>
            <w:tcW w:w="1928" w:type="dxa"/>
            <w:vAlign w:val="center"/>
          </w:tcPr>
          <w:p w14:paraId="2905F9E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Map + conceptual paired structure</w:t>
            </w:r>
          </w:p>
        </w:tc>
        <w:tc>
          <w:tcPr>
            <w:tcW w:w="1928" w:type="dxa"/>
            <w:vAlign w:val="center"/>
          </w:tcPr>
          <w:p w14:paraId="655215F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7 city coordinates / boundaries</w:t>
            </w:r>
          </w:p>
        </w:tc>
        <w:tc>
          <w:tcPr>
            <w:tcW w:w="1928" w:type="dxa"/>
            <w:vAlign w:val="center"/>
          </w:tcPr>
          <w:p w14:paraId="1922BF1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样本覆盖</w:t>
            </w:r>
            <w:r w:rsidRPr="00670A78">
              <w:rPr>
                <w:sz w:val="14"/>
              </w:rPr>
              <w:t xml:space="preserve"> TomTom Malaysia </w:t>
            </w:r>
            <w:r w:rsidRPr="00670A78">
              <w:rPr>
                <w:sz w:val="14"/>
              </w:rPr>
              <w:t>的全部可用城市。</w:t>
            </w:r>
          </w:p>
        </w:tc>
      </w:tr>
      <w:tr w:rsidR="00670A78" w:rsidRPr="00670A78" w14:paraId="42B2526B" w14:textId="77777777">
        <w:trPr>
          <w:jc w:val="center"/>
        </w:trPr>
        <w:tc>
          <w:tcPr>
            <w:tcW w:w="1928" w:type="dxa"/>
            <w:vAlign w:val="center"/>
          </w:tcPr>
          <w:p w14:paraId="612E3FC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Fig. 3</w:t>
            </w:r>
          </w:p>
        </w:tc>
        <w:tc>
          <w:tcPr>
            <w:tcW w:w="1928" w:type="dxa"/>
            <w:vAlign w:val="center"/>
          </w:tcPr>
          <w:p w14:paraId="465107E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Annual city–metro gaps in traffic-performance indicators</w:t>
            </w:r>
          </w:p>
        </w:tc>
        <w:tc>
          <w:tcPr>
            <w:tcW w:w="1928" w:type="dxa"/>
            <w:vAlign w:val="center"/>
          </w:tcPr>
          <w:p w14:paraId="2DA8667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Multi-panel horizontal bar chart</w:t>
            </w:r>
          </w:p>
        </w:tc>
        <w:tc>
          <w:tcPr>
            <w:tcW w:w="1928" w:type="dxa"/>
            <w:vAlign w:val="center"/>
          </w:tcPr>
          <w:p w14:paraId="306F6BE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Annual overview City + Metro</w:t>
            </w:r>
          </w:p>
        </w:tc>
        <w:tc>
          <w:tcPr>
            <w:tcW w:w="1928" w:type="dxa"/>
            <w:vAlign w:val="center"/>
          </w:tcPr>
          <w:p w14:paraId="3D8C1945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4"/>
                <w:lang w:eastAsia="zh-CN"/>
              </w:rPr>
              <w:t>不同指标的尺度差异不同。</w:t>
            </w:r>
          </w:p>
        </w:tc>
      </w:tr>
      <w:tr w:rsidR="00670A78" w:rsidRPr="00670A78" w14:paraId="72601F96" w14:textId="77777777">
        <w:trPr>
          <w:jc w:val="center"/>
        </w:trPr>
        <w:tc>
          <w:tcPr>
            <w:tcW w:w="1928" w:type="dxa"/>
            <w:vAlign w:val="center"/>
          </w:tcPr>
          <w:p w14:paraId="4E10B15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Fig. 4</w:t>
            </w:r>
          </w:p>
        </w:tc>
        <w:tc>
          <w:tcPr>
            <w:tcW w:w="1928" w:type="dxa"/>
            <w:vAlign w:val="center"/>
          </w:tcPr>
          <w:p w14:paraId="7170CBC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Indicator sensitivity index</w:t>
            </w:r>
          </w:p>
        </w:tc>
        <w:tc>
          <w:tcPr>
            <w:tcW w:w="1928" w:type="dxa"/>
            <w:vAlign w:val="center"/>
          </w:tcPr>
          <w:p w14:paraId="0F462AF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Bar chart</w:t>
            </w:r>
          </w:p>
        </w:tc>
        <w:tc>
          <w:tcPr>
            <w:tcW w:w="1928" w:type="dxa"/>
            <w:vAlign w:val="center"/>
          </w:tcPr>
          <w:p w14:paraId="11EC37C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Normalised differences</w:t>
            </w:r>
          </w:p>
        </w:tc>
        <w:tc>
          <w:tcPr>
            <w:tcW w:w="1928" w:type="dxa"/>
            <w:vAlign w:val="center"/>
          </w:tcPr>
          <w:p w14:paraId="2E259209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4"/>
                <w:lang w:eastAsia="zh-CN"/>
              </w:rPr>
              <w:t>识别最受尺度影响的指标。</w:t>
            </w:r>
          </w:p>
        </w:tc>
      </w:tr>
      <w:tr w:rsidR="00670A78" w:rsidRPr="00670A78" w14:paraId="2DC85354" w14:textId="77777777">
        <w:trPr>
          <w:jc w:val="center"/>
        </w:trPr>
        <w:tc>
          <w:tcPr>
            <w:tcW w:w="1928" w:type="dxa"/>
            <w:vAlign w:val="center"/>
          </w:tcPr>
          <w:p w14:paraId="6CA89FC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Fig. 5</w:t>
            </w:r>
          </w:p>
        </w:tc>
        <w:tc>
          <w:tcPr>
            <w:tcW w:w="1928" w:type="dxa"/>
            <w:vAlign w:val="center"/>
          </w:tcPr>
          <w:p w14:paraId="1C073AF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Ranking instability between City and Metro</w:t>
            </w:r>
          </w:p>
        </w:tc>
        <w:tc>
          <w:tcPr>
            <w:tcW w:w="1928" w:type="dxa"/>
            <w:vAlign w:val="center"/>
          </w:tcPr>
          <w:p w14:paraId="5C6CDD5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Slopegraph</w:t>
            </w:r>
          </w:p>
        </w:tc>
        <w:tc>
          <w:tcPr>
            <w:tcW w:w="1928" w:type="dxa"/>
            <w:vAlign w:val="center"/>
          </w:tcPr>
          <w:p w14:paraId="5773DF0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City and Metro rankings</w:t>
            </w:r>
          </w:p>
        </w:tc>
        <w:tc>
          <w:tcPr>
            <w:tcW w:w="1928" w:type="dxa"/>
            <w:vAlign w:val="center"/>
          </w:tcPr>
          <w:p w14:paraId="134088AF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4"/>
                <w:lang w:eastAsia="zh-CN"/>
              </w:rPr>
              <w:t>城市排序会随尺度变化。</w:t>
            </w:r>
          </w:p>
        </w:tc>
      </w:tr>
      <w:tr w:rsidR="00670A78" w:rsidRPr="00670A78" w14:paraId="5B40AD42" w14:textId="77777777">
        <w:trPr>
          <w:jc w:val="center"/>
        </w:trPr>
        <w:tc>
          <w:tcPr>
            <w:tcW w:w="1928" w:type="dxa"/>
            <w:vAlign w:val="center"/>
          </w:tcPr>
          <w:p w14:paraId="7931885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Fig. 6</w:t>
            </w:r>
          </w:p>
        </w:tc>
        <w:tc>
          <w:tcPr>
            <w:tcW w:w="1928" w:type="dxa"/>
            <w:vAlign w:val="center"/>
          </w:tcPr>
          <w:p w14:paraId="7C49699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Agreement between City and Metro indicators</w:t>
            </w:r>
          </w:p>
        </w:tc>
        <w:tc>
          <w:tcPr>
            <w:tcW w:w="1928" w:type="dxa"/>
            <w:vAlign w:val="center"/>
          </w:tcPr>
          <w:p w14:paraId="2764D85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Bland–Altman plots</w:t>
            </w:r>
          </w:p>
        </w:tc>
        <w:tc>
          <w:tcPr>
            <w:tcW w:w="1928" w:type="dxa"/>
            <w:vAlign w:val="center"/>
          </w:tcPr>
          <w:p w14:paraId="62CC5FA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Paired annual indicators</w:t>
            </w:r>
          </w:p>
        </w:tc>
        <w:tc>
          <w:tcPr>
            <w:tcW w:w="1928" w:type="dxa"/>
            <w:vAlign w:val="center"/>
          </w:tcPr>
          <w:p w14:paraId="557DEED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 xml:space="preserve">City </w:t>
            </w:r>
            <w:r w:rsidRPr="00670A78">
              <w:rPr>
                <w:sz w:val="14"/>
              </w:rPr>
              <w:t>与</w:t>
            </w:r>
            <w:r w:rsidRPr="00670A78">
              <w:rPr>
                <w:sz w:val="14"/>
              </w:rPr>
              <w:t xml:space="preserve"> Metro </w:t>
            </w:r>
            <w:r w:rsidRPr="00670A78">
              <w:rPr>
                <w:sz w:val="14"/>
              </w:rPr>
              <w:t>的一致性与偏差。</w:t>
            </w:r>
          </w:p>
        </w:tc>
      </w:tr>
      <w:tr w:rsidR="00670A78" w:rsidRPr="00670A78" w14:paraId="6AACBBCC" w14:textId="77777777">
        <w:trPr>
          <w:jc w:val="center"/>
        </w:trPr>
        <w:tc>
          <w:tcPr>
            <w:tcW w:w="1928" w:type="dxa"/>
            <w:vAlign w:val="center"/>
          </w:tcPr>
          <w:p w14:paraId="5B43A02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Fig. 7</w:t>
            </w:r>
          </w:p>
        </w:tc>
        <w:tc>
          <w:tcPr>
            <w:tcW w:w="1928" w:type="dxa"/>
            <w:vAlign w:val="center"/>
          </w:tcPr>
          <w:p w14:paraId="4C64F16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Temporal city–metro difference heatmaps</w:t>
            </w:r>
          </w:p>
        </w:tc>
        <w:tc>
          <w:tcPr>
            <w:tcW w:w="1928" w:type="dxa"/>
            <w:vAlign w:val="center"/>
          </w:tcPr>
          <w:p w14:paraId="578EF84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Diverging heatmaps</w:t>
            </w:r>
          </w:p>
        </w:tc>
        <w:tc>
          <w:tcPr>
            <w:tcW w:w="1928" w:type="dxa"/>
            <w:vAlign w:val="center"/>
          </w:tcPr>
          <w:p w14:paraId="22D89F0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24×7 matrices</w:t>
            </w:r>
          </w:p>
        </w:tc>
        <w:tc>
          <w:tcPr>
            <w:tcW w:w="1928" w:type="dxa"/>
            <w:vAlign w:val="center"/>
          </w:tcPr>
          <w:p w14:paraId="6B59AF73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4"/>
                <w:lang w:eastAsia="zh-CN"/>
              </w:rPr>
              <w:t>尺度差异集中在哪些小时和星期。</w:t>
            </w:r>
          </w:p>
        </w:tc>
      </w:tr>
      <w:tr w:rsidR="00670A78" w:rsidRPr="00670A78" w14:paraId="458AAA45" w14:textId="77777777">
        <w:trPr>
          <w:jc w:val="center"/>
        </w:trPr>
        <w:tc>
          <w:tcPr>
            <w:tcW w:w="1928" w:type="dxa"/>
            <w:vAlign w:val="center"/>
          </w:tcPr>
          <w:p w14:paraId="7FAD660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Fig. 8</w:t>
            </w:r>
          </w:p>
        </w:tc>
        <w:tc>
          <w:tcPr>
            <w:tcW w:w="1928" w:type="dxa"/>
            <w:vAlign w:val="center"/>
          </w:tcPr>
          <w:p w14:paraId="3A305AC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Exploratory scale-sensitivity typology</w:t>
            </w:r>
          </w:p>
        </w:tc>
        <w:tc>
          <w:tcPr>
            <w:tcW w:w="1928" w:type="dxa"/>
            <w:vAlign w:val="center"/>
          </w:tcPr>
          <w:p w14:paraId="6C1894A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Dendrogram + heatmap + regime table</w:t>
            </w:r>
          </w:p>
        </w:tc>
        <w:tc>
          <w:tcPr>
            <w:tcW w:w="1928" w:type="dxa"/>
            <w:vAlign w:val="center"/>
          </w:tcPr>
          <w:p w14:paraId="060AF81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ND, rank shift, PAI gap, OSM context</w:t>
            </w:r>
          </w:p>
        </w:tc>
        <w:tc>
          <w:tcPr>
            <w:tcW w:w="1928" w:type="dxa"/>
            <w:vAlign w:val="center"/>
          </w:tcPr>
          <w:p w14:paraId="6DDCAAA0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4"/>
                <w:lang w:eastAsia="zh-CN"/>
              </w:rPr>
              <w:t>形成三类诊断型城市。</w:t>
            </w:r>
          </w:p>
        </w:tc>
      </w:tr>
    </w:tbl>
    <w:p w14:paraId="73B2F381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6.2 Recommended tables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6"/>
        <w:gridCol w:w="2407"/>
        <w:gridCol w:w="2408"/>
        <w:gridCol w:w="2407"/>
      </w:tblGrid>
      <w:tr w:rsidR="00670A78" w:rsidRPr="00670A78" w14:paraId="2FE9AD30" w14:textId="77777777">
        <w:trPr>
          <w:tblHeader/>
          <w:jc w:val="center"/>
        </w:trPr>
        <w:tc>
          <w:tcPr>
            <w:tcW w:w="2409" w:type="dxa"/>
            <w:shd w:val="clear" w:color="auto" w:fill="D9EAF7"/>
            <w:vAlign w:val="center"/>
          </w:tcPr>
          <w:p w14:paraId="33347EE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Table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7FF5DC4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Title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16117B7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Content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37BB84F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Role</w:t>
            </w:r>
          </w:p>
        </w:tc>
      </w:tr>
      <w:tr w:rsidR="00670A78" w:rsidRPr="00670A78" w14:paraId="1FD93819" w14:textId="77777777">
        <w:trPr>
          <w:jc w:val="center"/>
        </w:trPr>
        <w:tc>
          <w:tcPr>
            <w:tcW w:w="2409" w:type="dxa"/>
            <w:vAlign w:val="center"/>
          </w:tcPr>
          <w:p w14:paraId="32A5C4A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Table 1</w:t>
            </w:r>
          </w:p>
        </w:tc>
        <w:tc>
          <w:tcPr>
            <w:tcW w:w="2409" w:type="dxa"/>
            <w:vAlign w:val="center"/>
          </w:tcPr>
          <w:p w14:paraId="1C76400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Data sources and variables</w:t>
            </w:r>
          </w:p>
        </w:tc>
        <w:tc>
          <w:tcPr>
            <w:tcW w:w="2409" w:type="dxa"/>
            <w:vAlign w:val="center"/>
          </w:tcPr>
          <w:p w14:paraId="7F83A5C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TomTom, OSM, population, vehicle, built-up area, capture date and role.</w:t>
            </w:r>
          </w:p>
        </w:tc>
        <w:tc>
          <w:tcPr>
            <w:tcW w:w="2409" w:type="dxa"/>
            <w:vAlign w:val="center"/>
          </w:tcPr>
          <w:p w14:paraId="787AF36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透明说明数据来源。</w:t>
            </w:r>
          </w:p>
        </w:tc>
      </w:tr>
      <w:tr w:rsidR="00670A78" w:rsidRPr="00670A78" w14:paraId="139D13D6" w14:textId="77777777">
        <w:trPr>
          <w:jc w:val="center"/>
        </w:trPr>
        <w:tc>
          <w:tcPr>
            <w:tcW w:w="2409" w:type="dxa"/>
            <w:vAlign w:val="center"/>
          </w:tcPr>
          <w:p w14:paraId="6B49E40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Table 2</w:t>
            </w:r>
          </w:p>
        </w:tc>
        <w:tc>
          <w:tcPr>
            <w:tcW w:w="2409" w:type="dxa"/>
            <w:vAlign w:val="center"/>
          </w:tcPr>
          <w:p w14:paraId="0CBDF5A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Annual City and Metro indicators</w:t>
            </w:r>
          </w:p>
        </w:tc>
        <w:tc>
          <w:tcPr>
            <w:tcW w:w="2409" w:type="dxa"/>
            <w:vAlign w:val="center"/>
          </w:tcPr>
          <w:p w14:paraId="6E85CD2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14-row paired dataset summary.</w:t>
            </w:r>
          </w:p>
        </w:tc>
        <w:tc>
          <w:tcPr>
            <w:tcW w:w="2409" w:type="dxa"/>
            <w:vAlign w:val="center"/>
          </w:tcPr>
          <w:p w14:paraId="1E1B2D1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主数据表。</w:t>
            </w:r>
          </w:p>
        </w:tc>
      </w:tr>
      <w:tr w:rsidR="00670A78" w:rsidRPr="00670A78" w14:paraId="1EA795CD" w14:textId="77777777">
        <w:trPr>
          <w:jc w:val="center"/>
        </w:trPr>
        <w:tc>
          <w:tcPr>
            <w:tcW w:w="2409" w:type="dxa"/>
            <w:vAlign w:val="center"/>
          </w:tcPr>
          <w:p w14:paraId="0C0EBBB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lastRenderedPageBreak/>
              <w:t>Table 3</w:t>
            </w:r>
          </w:p>
        </w:tc>
        <w:tc>
          <w:tcPr>
            <w:tcW w:w="2409" w:type="dxa"/>
            <w:vAlign w:val="center"/>
          </w:tcPr>
          <w:p w14:paraId="2C44B73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City–metro gaps, ratios and normalised differences</w:t>
            </w:r>
          </w:p>
        </w:tc>
        <w:tc>
          <w:tcPr>
            <w:tcW w:w="2409" w:type="dxa"/>
            <w:vAlign w:val="center"/>
          </w:tcPr>
          <w:p w14:paraId="6336BC3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CMG, CSR and ND for each indicator.</w:t>
            </w:r>
          </w:p>
        </w:tc>
        <w:tc>
          <w:tcPr>
            <w:tcW w:w="2409" w:type="dxa"/>
            <w:vAlign w:val="center"/>
          </w:tcPr>
          <w:p w14:paraId="45DF32A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核心结果表。</w:t>
            </w:r>
          </w:p>
        </w:tc>
      </w:tr>
      <w:tr w:rsidR="00670A78" w:rsidRPr="00670A78" w14:paraId="4EAC026E" w14:textId="77777777">
        <w:trPr>
          <w:jc w:val="center"/>
        </w:trPr>
        <w:tc>
          <w:tcPr>
            <w:tcW w:w="2409" w:type="dxa"/>
            <w:vAlign w:val="center"/>
          </w:tcPr>
          <w:p w14:paraId="1E2A9E7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Table 4</w:t>
            </w:r>
          </w:p>
        </w:tc>
        <w:tc>
          <w:tcPr>
            <w:tcW w:w="2409" w:type="dxa"/>
            <w:vAlign w:val="center"/>
          </w:tcPr>
          <w:p w14:paraId="640EB9A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Indicator sensitivity ranking</w:t>
            </w:r>
          </w:p>
        </w:tc>
        <w:tc>
          <w:tcPr>
            <w:tcW w:w="2409" w:type="dxa"/>
            <w:vAlign w:val="center"/>
          </w:tcPr>
          <w:p w14:paraId="23F6691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Mean absolute gap, mean ND, ISI, sensitivity level.</w:t>
            </w:r>
          </w:p>
        </w:tc>
        <w:tc>
          <w:tcPr>
            <w:tcW w:w="2409" w:type="dxa"/>
            <w:vAlign w:val="center"/>
          </w:tcPr>
          <w:p w14:paraId="3F2A23C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回答</w:t>
            </w:r>
            <w:r w:rsidRPr="00670A78">
              <w:rPr>
                <w:sz w:val="15"/>
              </w:rPr>
              <w:t xml:space="preserve"> RQ2</w:t>
            </w:r>
            <w:r w:rsidRPr="00670A78">
              <w:rPr>
                <w:sz w:val="15"/>
              </w:rPr>
              <w:t>。</w:t>
            </w:r>
          </w:p>
        </w:tc>
      </w:tr>
      <w:tr w:rsidR="00670A78" w:rsidRPr="00670A78" w14:paraId="532F56A6" w14:textId="77777777">
        <w:trPr>
          <w:jc w:val="center"/>
        </w:trPr>
        <w:tc>
          <w:tcPr>
            <w:tcW w:w="2409" w:type="dxa"/>
            <w:vAlign w:val="center"/>
          </w:tcPr>
          <w:p w14:paraId="37E60E1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Table 5</w:t>
            </w:r>
          </w:p>
        </w:tc>
        <w:tc>
          <w:tcPr>
            <w:tcW w:w="2409" w:type="dxa"/>
            <w:vAlign w:val="center"/>
          </w:tcPr>
          <w:p w14:paraId="0FB6E01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Ranking instability</w:t>
            </w:r>
          </w:p>
        </w:tc>
        <w:tc>
          <w:tcPr>
            <w:tcW w:w="2409" w:type="dxa"/>
            <w:vAlign w:val="center"/>
          </w:tcPr>
          <w:p w14:paraId="75C0CA5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City rank, Metro rank, RD, ARS and interpretation.</w:t>
            </w:r>
          </w:p>
        </w:tc>
        <w:tc>
          <w:tcPr>
            <w:tcW w:w="2409" w:type="dxa"/>
            <w:vAlign w:val="center"/>
          </w:tcPr>
          <w:p w14:paraId="001F7DF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回答</w:t>
            </w:r>
            <w:r w:rsidRPr="00670A78">
              <w:rPr>
                <w:sz w:val="15"/>
              </w:rPr>
              <w:t xml:space="preserve"> RQ3</w:t>
            </w:r>
            <w:r w:rsidRPr="00670A78">
              <w:rPr>
                <w:sz w:val="15"/>
              </w:rPr>
              <w:t>。</w:t>
            </w:r>
          </w:p>
        </w:tc>
      </w:tr>
      <w:tr w:rsidR="00670A78" w:rsidRPr="00670A78" w14:paraId="484D8E7E" w14:textId="77777777">
        <w:trPr>
          <w:jc w:val="center"/>
        </w:trPr>
        <w:tc>
          <w:tcPr>
            <w:tcW w:w="2409" w:type="dxa"/>
            <w:vAlign w:val="center"/>
          </w:tcPr>
          <w:p w14:paraId="5A1BFED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Table 6</w:t>
            </w:r>
          </w:p>
        </w:tc>
        <w:tc>
          <w:tcPr>
            <w:tcW w:w="2409" w:type="dxa"/>
            <w:vAlign w:val="center"/>
          </w:tcPr>
          <w:p w14:paraId="7F0B57F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Peak-period and weekly rhythm indicators</w:t>
            </w:r>
          </w:p>
        </w:tc>
        <w:tc>
          <w:tcPr>
            <w:tcW w:w="2409" w:type="dxa"/>
            <w:vAlign w:val="center"/>
          </w:tcPr>
          <w:p w14:paraId="713B6A5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AMTT, PMTT, PAI, weekday/weekend gap.</w:t>
            </w:r>
          </w:p>
        </w:tc>
        <w:tc>
          <w:tcPr>
            <w:tcW w:w="2409" w:type="dxa"/>
            <w:vAlign w:val="center"/>
          </w:tcPr>
          <w:p w14:paraId="0F6C498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回答</w:t>
            </w:r>
            <w:r w:rsidRPr="00670A78">
              <w:rPr>
                <w:sz w:val="15"/>
              </w:rPr>
              <w:t xml:space="preserve"> temporal RQ</w:t>
            </w:r>
            <w:r w:rsidRPr="00670A78">
              <w:rPr>
                <w:sz w:val="15"/>
              </w:rPr>
              <w:t>。</w:t>
            </w:r>
          </w:p>
        </w:tc>
      </w:tr>
      <w:tr w:rsidR="00670A78" w:rsidRPr="00670A78" w14:paraId="4719A974" w14:textId="77777777">
        <w:trPr>
          <w:jc w:val="center"/>
        </w:trPr>
        <w:tc>
          <w:tcPr>
            <w:tcW w:w="2409" w:type="dxa"/>
            <w:vAlign w:val="center"/>
          </w:tcPr>
          <w:p w14:paraId="6260586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Table 7</w:t>
            </w:r>
          </w:p>
        </w:tc>
        <w:tc>
          <w:tcPr>
            <w:tcW w:w="2409" w:type="dxa"/>
            <w:vAlign w:val="center"/>
          </w:tcPr>
          <w:p w14:paraId="252D59F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Robustness checks</w:t>
            </w:r>
          </w:p>
        </w:tc>
        <w:tc>
          <w:tcPr>
            <w:tcW w:w="2409" w:type="dxa"/>
            <w:vAlign w:val="center"/>
          </w:tcPr>
          <w:p w14:paraId="57E02E3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Gap vs ratio, Spearman vs Kendall, excluding KL, with/without OSM.</w:t>
            </w:r>
          </w:p>
        </w:tc>
        <w:tc>
          <w:tcPr>
            <w:tcW w:w="2409" w:type="dxa"/>
            <w:vAlign w:val="center"/>
          </w:tcPr>
          <w:p w14:paraId="4E58FE1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风险控制。</w:t>
            </w:r>
          </w:p>
        </w:tc>
      </w:tr>
    </w:tbl>
    <w:p w14:paraId="3E8697D7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6.3 Figure style requirements</w:t>
      </w:r>
    </w:p>
    <w:p w14:paraId="4C7BDEA2" w14:textId="77777777" w:rsidR="00E42F89" w:rsidRPr="00670A78" w:rsidRDefault="00000000">
      <w:pPr>
        <w:pStyle w:val="a0"/>
      </w:pPr>
      <w:r w:rsidRPr="00670A78">
        <w:t>Use English labels only in all figures.</w:t>
      </w:r>
    </w:p>
    <w:p w14:paraId="4718CA49" w14:textId="77777777" w:rsidR="00E42F89" w:rsidRPr="00670A78" w:rsidRDefault="00000000">
      <w:pPr>
        <w:pStyle w:val="a0"/>
      </w:pPr>
      <w:r w:rsidRPr="00670A78">
        <w:t>Use Arial or another clean sans-serif font; keep white background.</w:t>
      </w:r>
    </w:p>
    <w:p w14:paraId="1D153FC4" w14:textId="77777777" w:rsidR="00E42F89" w:rsidRPr="00670A78" w:rsidRDefault="00000000">
      <w:pPr>
        <w:pStyle w:val="a0"/>
      </w:pPr>
      <w:r w:rsidRPr="00670A78">
        <w:t>Use colour-blind-friendly palettes; avoid 3D effects and heavy gradients.</w:t>
      </w:r>
    </w:p>
    <w:p w14:paraId="533C1599" w14:textId="77777777" w:rsidR="00E42F89" w:rsidRPr="00670A78" w:rsidRDefault="00000000">
      <w:pPr>
        <w:pStyle w:val="a0"/>
      </w:pPr>
      <w:r w:rsidRPr="00670A78">
        <w:t>Use panel labels a, b, c, not Fig. 3a embedded as large title text.</w:t>
      </w:r>
    </w:p>
    <w:p w14:paraId="43156ECA" w14:textId="77777777" w:rsidR="00E42F89" w:rsidRPr="00670A78" w:rsidRDefault="00000000">
      <w:pPr>
        <w:pStyle w:val="a0"/>
      </w:pPr>
      <w:r w:rsidRPr="00670A78">
        <w:t>For heatmaps, use clear legends with units: min, %, km/h, or normalised difference (%).</w:t>
      </w:r>
    </w:p>
    <w:p w14:paraId="28481DEA" w14:textId="77777777" w:rsidR="00E42F89" w:rsidRPr="00670A78" w:rsidRDefault="00000000">
      <w:pPr>
        <w:pStyle w:val="a0"/>
      </w:pPr>
      <w:r w:rsidRPr="00670A78">
        <w:t>For difference heatmaps, use a diverging scale centered at zero.</w:t>
      </w:r>
    </w:p>
    <w:p w14:paraId="71B06E60" w14:textId="77777777" w:rsidR="00E42F89" w:rsidRPr="00670A78" w:rsidRDefault="00000000">
      <w:pPr>
        <w:pStyle w:val="a0"/>
      </w:pPr>
      <w:r w:rsidRPr="00670A78">
        <w:t>Use consistent city order across all figures: George Town, Kota Bharu, Kuala Lumpur, Seberang Perai, Johor Bahru, Ipoh, Kajang.</w:t>
      </w:r>
    </w:p>
    <w:p w14:paraId="188746F3" w14:textId="77777777" w:rsidR="00E42F89" w:rsidRPr="00670A78" w:rsidRDefault="00000000">
      <w:pPr>
        <w:pStyle w:val="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7. Full manuscript outline</w:t>
      </w:r>
    </w:p>
    <w:p w14:paraId="18B98550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Title</w:t>
      </w:r>
    </w:p>
    <w:p w14:paraId="203C07E9" w14:textId="77777777" w:rsidR="00E42F89" w:rsidRPr="00670A78" w:rsidRDefault="00000000">
      <w:r w:rsidRPr="00670A78">
        <w:rPr>
          <w:b/>
        </w:rPr>
        <w:t>City–Metro Scale Sensitivity in Urban Traffic Performance: Temporal Evidence from Floating Car Data in Malaysian Cities</w:t>
      </w:r>
    </w:p>
    <w:p w14:paraId="3A0831D0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Abstract structure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70A78" w:rsidRPr="00670A78" w14:paraId="65CAF0CF" w14:textId="77777777">
        <w:trPr>
          <w:tblHeader/>
          <w:jc w:val="center"/>
        </w:trPr>
        <w:tc>
          <w:tcPr>
            <w:tcW w:w="3213" w:type="dxa"/>
            <w:shd w:val="clear" w:color="auto" w:fill="D9EAF7"/>
            <w:vAlign w:val="center"/>
          </w:tcPr>
          <w:p w14:paraId="676BCCE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Sentence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2DA1B48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Function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2F9798B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Draft content direction</w:t>
            </w:r>
          </w:p>
        </w:tc>
      </w:tr>
      <w:tr w:rsidR="00670A78" w:rsidRPr="00670A78" w14:paraId="66BDE977" w14:textId="77777777">
        <w:trPr>
          <w:jc w:val="center"/>
        </w:trPr>
        <w:tc>
          <w:tcPr>
            <w:tcW w:w="3213" w:type="dxa"/>
            <w:vAlign w:val="center"/>
          </w:tcPr>
          <w:p w14:paraId="35851BD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1</w:t>
            </w:r>
          </w:p>
        </w:tc>
        <w:tc>
          <w:tcPr>
            <w:tcW w:w="3213" w:type="dxa"/>
            <w:vAlign w:val="center"/>
          </w:tcPr>
          <w:p w14:paraId="4E8A4E3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Background</w:t>
            </w:r>
          </w:p>
        </w:tc>
        <w:tc>
          <w:tcPr>
            <w:tcW w:w="3213" w:type="dxa"/>
            <w:vAlign w:val="center"/>
          </w:tcPr>
          <w:p w14:paraId="2AE6790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Platform-based traffic indicators are increasingly used to compare urban congestion and mobility performance.</w:t>
            </w:r>
          </w:p>
        </w:tc>
      </w:tr>
      <w:tr w:rsidR="00670A78" w:rsidRPr="00670A78" w14:paraId="0FF70114" w14:textId="77777777">
        <w:trPr>
          <w:jc w:val="center"/>
        </w:trPr>
        <w:tc>
          <w:tcPr>
            <w:tcW w:w="3213" w:type="dxa"/>
            <w:vAlign w:val="center"/>
          </w:tcPr>
          <w:p w14:paraId="1EB277F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2</w:t>
            </w:r>
          </w:p>
        </w:tc>
        <w:tc>
          <w:tcPr>
            <w:tcW w:w="3213" w:type="dxa"/>
            <w:vAlign w:val="center"/>
          </w:tcPr>
          <w:p w14:paraId="3FB0EA4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Problem</w:t>
            </w:r>
          </w:p>
        </w:tc>
        <w:tc>
          <w:tcPr>
            <w:tcW w:w="3213" w:type="dxa"/>
            <w:vAlign w:val="center"/>
          </w:tcPr>
          <w:p w14:paraId="0117FAA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However, such comparisons may depend on whether traffic is measured at city or metropolitan scale.</w:t>
            </w:r>
          </w:p>
        </w:tc>
      </w:tr>
      <w:tr w:rsidR="00670A78" w:rsidRPr="00670A78" w14:paraId="630FAD4D" w14:textId="77777777">
        <w:trPr>
          <w:jc w:val="center"/>
        </w:trPr>
        <w:tc>
          <w:tcPr>
            <w:tcW w:w="3213" w:type="dxa"/>
            <w:vAlign w:val="center"/>
          </w:tcPr>
          <w:p w14:paraId="11F1292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3</w:t>
            </w:r>
          </w:p>
        </w:tc>
        <w:tc>
          <w:tcPr>
            <w:tcW w:w="3213" w:type="dxa"/>
            <w:vAlign w:val="center"/>
          </w:tcPr>
          <w:p w14:paraId="6BC43D5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Gap</w:t>
            </w:r>
          </w:p>
        </w:tc>
        <w:tc>
          <w:tcPr>
            <w:tcW w:w="3213" w:type="dxa"/>
            <w:vAlign w:val="center"/>
          </w:tcPr>
          <w:p w14:paraId="6272A42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Few studies test whether the same city receives stable traffic diagnoses across these two spatial scales.</w:t>
            </w:r>
          </w:p>
        </w:tc>
      </w:tr>
      <w:tr w:rsidR="00670A78" w:rsidRPr="00670A78" w14:paraId="39989A31" w14:textId="77777777">
        <w:trPr>
          <w:jc w:val="center"/>
        </w:trPr>
        <w:tc>
          <w:tcPr>
            <w:tcW w:w="3213" w:type="dxa"/>
            <w:vAlign w:val="center"/>
          </w:tcPr>
          <w:p w14:paraId="6B7853F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4</w:t>
            </w:r>
          </w:p>
        </w:tc>
        <w:tc>
          <w:tcPr>
            <w:tcW w:w="3213" w:type="dxa"/>
            <w:vAlign w:val="center"/>
          </w:tcPr>
          <w:p w14:paraId="023A014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Objective</w:t>
            </w:r>
          </w:p>
        </w:tc>
        <w:tc>
          <w:tcPr>
            <w:tcW w:w="3213" w:type="dxa"/>
            <w:vAlign w:val="center"/>
          </w:tcPr>
          <w:p w14:paraId="064FAC7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This study examines city–metro scale sensitivity in Malaysian cities using floating-car-data indicators.</w:t>
            </w:r>
          </w:p>
        </w:tc>
      </w:tr>
      <w:tr w:rsidR="00670A78" w:rsidRPr="00670A78" w14:paraId="5AA39321" w14:textId="77777777">
        <w:trPr>
          <w:jc w:val="center"/>
        </w:trPr>
        <w:tc>
          <w:tcPr>
            <w:tcW w:w="3213" w:type="dxa"/>
            <w:vAlign w:val="center"/>
          </w:tcPr>
          <w:p w14:paraId="2E601A6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5</w:t>
            </w:r>
          </w:p>
        </w:tc>
        <w:tc>
          <w:tcPr>
            <w:tcW w:w="3213" w:type="dxa"/>
            <w:vAlign w:val="center"/>
          </w:tcPr>
          <w:p w14:paraId="37E2302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Data</w:t>
            </w:r>
          </w:p>
        </w:tc>
        <w:tc>
          <w:tcPr>
            <w:tcW w:w="3213" w:type="dxa"/>
            <w:vAlign w:val="center"/>
          </w:tcPr>
          <w:p w14:paraId="7B5DDAE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All Malaysian cities available in the TomTom Traffic Index are analysed with paired City and Metro observations.</w:t>
            </w:r>
          </w:p>
        </w:tc>
      </w:tr>
      <w:tr w:rsidR="00670A78" w:rsidRPr="00670A78" w14:paraId="740D32D8" w14:textId="77777777">
        <w:trPr>
          <w:jc w:val="center"/>
        </w:trPr>
        <w:tc>
          <w:tcPr>
            <w:tcW w:w="3213" w:type="dxa"/>
            <w:vAlign w:val="center"/>
          </w:tcPr>
          <w:p w14:paraId="5050304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6</w:t>
            </w:r>
          </w:p>
        </w:tc>
        <w:tc>
          <w:tcPr>
            <w:tcW w:w="3213" w:type="dxa"/>
            <w:vAlign w:val="center"/>
          </w:tcPr>
          <w:p w14:paraId="2F59051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Method</w:t>
            </w:r>
          </w:p>
        </w:tc>
        <w:tc>
          <w:tcPr>
            <w:tcW w:w="3213" w:type="dxa"/>
            <w:vAlign w:val="center"/>
          </w:tcPr>
          <w:p w14:paraId="0524E90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Annual indicators, monthly congestion data, rush-hour summaries and 24×7 driving-pattern matrices are extracted.</w:t>
            </w:r>
          </w:p>
        </w:tc>
      </w:tr>
      <w:tr w:rsidR="00670A78" w:rsidRPr="00670A78" w14:paraId="0465374E" w14:textId="77777777">
        <w:trPr>
          <w:jc w:val="center"/>
        </w:trPr>
        <w:tc>
          <w:tcPr>
            <w:tcW w:w="3213" w:type="dxa"/>
            <w:vAlign w:val="center"/>
          </w:tcPr>
          <w:p w14:paraId="39647F3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7</w:t>
            </w:r>
          </w:p>
        </w:tc>
        <w:tc>
          <w:tcPr>
            <w:tcW w:w="3213" w:type="dxa"/>
            <w:vAlign w:val="center"/>
          </w:tcPr>
          <w:p w14:paraId="5F71D08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Analysis</w:t>
            </w:r>
          </w:p>
        </w:tc>
        <w:tc>
          <w:tcPr>
            <w:tcW w:w="3213" w:type="dxa"/>
            <w:vAlign w:val="center"/>
          </w:tcPr>
          <w:p w14:paraId="2C59999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City–metro gaps, normalised differences, ranking instability, agreement plots and temporal difference heatmaps are calculated.</w:t>
            </w:r>
          </w:p>
        </w:tc>
      </w:tr>
      <w:tr w:rsidR="00670A78" w:rsidRPr="00670A78" w14:paraId="00BA1B5D" w14:textId="77777777">
        <w:trPr>
          <w:jc w:val="center"/>
        </w:trPr>
        <w:tc>
          <w:tcPr>
            <w:tcW w:w="3213" w:type="dxa"/>
            <w:vAlign w:val="center"/>
          </w:tcPr>
          <w:p w14:paraId="3A0766D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8</w:t>
            </w:r>
          </w:p>
        </w:tc>
        <w:tc>
          <w:tcPr>
            <w:tcW w:w="3213" w:type="dxa"/>
            <w:vAlign w:val="center"/>
          </w:tcPr>
          <w:p w14:paraId="4900B56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Expected result</w:t>
            </w:r>
          </w:p>
        </w:tc>
        <w:tc>
          <w:tcPr>
            <w:tcW w:w="3213" w:type="dxa"/>
            <w:vAlign w:val="center"/>
          </w:tcPr>
          <w:p w14:paraId="3B3BD07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The analysis identifies whether congestion, speed and travel time are stable or scale-sensitive.</w:t>
            </w:r>
          </w:p>
        </w:tc>
      </w:tr>
      <w:tr w:rsidR="00670A78" w:rsidRPr="00670A78" w14:paraId="7C17F731" w14:textId="77777777">
        <w:trPr>
          <w:jc w:val="center"/>
        </w:trPr>
        <w:tc>
          <w:tcPr>
            <w:tcW w:w="3213" w:type="dxa"/>
            <w:vAlign w:val="center"/>
          </w:tcPr>
          <w:p w14:paraId="7EB86AF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9</w:t>
            </w:r>
          </w:p>
        </w:tc>
        <w:tc>
          <w:tcPr>
            <w:tcW w:w="3213" w:type="dxa"/>
            <w:vAlign w:val="center"/>
          </w:tcPr>
          <w:p w14:paraId="03ED729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Implication</w:t>
            </w:r>
          </w:p>
        </w:tc>
        <w:tc>
          <w:tcPr>
            <w:tcW w:w="3213" w:type="dxa"/>
            <w:vAlign w:val="center"/>
          </w:tcPr>
          <w:p w14:paraId="4750A6B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The findings caution against interpreting city-only rankings as metropolitan mobility conditions.</w:t>
            </w:r>
          </w:p>
        </w:tc>
      </w:tr>
      <w:tr w:rsidR="00670A78" w:rsidRPr="00670A78" w14:paraId="5A14A0C0" w14:textId="77777777">
        <w:trPr>
          <w:jc w:val="center"/>
        </w:trPr>
        <w:tc>
          <w:tcPr>
            <w:tcW w:w="3213" w:type="dxa"/>
            <w:vAlign w:val="center"/>
          </w:tcPr>
          <w:p w14:paraId="3E730EA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10</w:t>
            </w:r>
          </w:p>
        </w:tc>
        <w:tc>
          <w:tcPr>
            <w:tcW w:w="3213" w:type="dxa"/>
            <w:vAlign w:val="center"/>
          </w:tcPr>
          <w:p w14:paraId="5F06269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Contribution</w:t>
            </w:r>
          </w:p>
        </w:tc>
        <w:tc>
          <w:tcPr>
            <w:tcW w:w="3213" w:type="dxa"/>
            <w:vAlign w:val="center"/>
          </w:tcPr>
          <w:p w14:paraId="0A0417E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The study provides a reproducible diagnostic framework for scale-aware traffic-performance benchmarking.</w:t>
            </w:r>
          </w:p>
        </w:tc>
      </w:tr>
    </w:tbl>
    <w:p w14:paraId="6467BE50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1. Introduction</w:t>
      </w:r>
    </w:p>
    <w:p w14:paraId="7AFCF7B9" w14:textId="77777777" w:rsidR="00E42F89" w:rsidRPr="00670A78" w:rsidRDefault="00000000">
      <w:r w:rsidRPr="00670A78">
        <w:t>1.1 Platform-based traffic benchmarks and urban decision-making</w:t>
      </w:r>
    </w:p>
    <w:p w14:paraId="55B86D4A" w14:textId="77777777" w:rsidR="00E42F89" w:rsidRPr="00670A78" w:rsidRDefault="00000000">
      <w:r w:rsidRPr="00670A78">
        <w:t>1.2 Why spatial scale matters in congestion measurement</w:t>
      </w:r>
    </w:p>
    <w:p w14:paraId="1F459E1B" w14:textId="77777777" w:rsidR="00E42F89" w:rsidRPr="00670A78" w:rsidRDefault="00000000">
      <w:r w:rsidRPr="00670A78">
        <w:t>1.3 City–metro inconsistency as a measurement problem</w:t>
      </w:r>
    </w:p>
    <w:p w14:paraId="4CCF2CB4" w14:textId="77777777" w:rsidR="00E42F89" w:rsidRPr="00670A78" w:rsidRDefault="00000000">
      <w:r w:rsidRPr="00670A78">
        <w:t>1.4 Research objectives and contributions</w:t>
      </w:r>
    </w:p>
    <w:p w14:paraId="42F2C663" w14:textId="77777777" w:rsidR="00E42F89" w:rsidRPr="00670A78" w:rsidRDefault="00000000">
      <w:r w:rsidRPr="00670A78">
        <w:lastRenderedPageBreak/>
        <w:t>Key writing rule: Introduction should not start with Malaysia. Start with the global measurement problem, then introduce Malaysia as a complete national sample available from TomTom.</w:t>
      </w:r>
    </w:p>
    <w:p w14:paraId="76B1AB5D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2. Literature Review</w:t>
      </w:r>
    </w:p>
    <w:p w14:paraId="1908021A" w14:textId="77777777" w:rsidR="00E42F89" w:rsidRPr="00670A78" w:rsidRDefault="00000000">
      <w:r w:rsidRPr="00670A78">
        <w:t>2.1 Floating car data and platform-based congestion benchmarking</w:t>
      </w:r>
    </w:p>
    <w:p w14:paraId="634567E6" w14:textId="77777777" w:rsidR="00E42F89" w:rsidRPr="00670A78" w:rsidRDefault="00000000">
      <w:r w:rsidRPr="00670A78">
        <w:t>2.2 Urban traffic performance beyond single congestion ranking</w:t>
      </w:r>
    </w:p>
    <w:p w14:paraId="78AFD531" w14:textId="77777777" w:rsidR="00E42F89" w:rsidRPr="00670A78" w:rsidRDefault="00000000">
      <w:r w:rsidRPr="00670A78">
        <w:t>2.3 Spatial scale, city boundaries, metropolitan areas and MAUP</w:t>
      </w:r>
    </w:p>
    <w:p w14:paraId="0C92B58F" w14:textId="77777777" w:rsidR="00E42F89" w:rsidRPr="00670A78" w:rsidRDefault="00000000">
      <w:r w:rsidRPr="00670A78">
        <w:t>2.4 Ranking instability and measurement agreement</w:t>
      </w:r>
    </w:p>
    <w:p w14:paraId="734BF30E" w14:textId="77777777" w:rsidR="00E42F89" w:rsidRPr="00670A78" w:rsidRDefault="00000000">
      <w:r w:rsidRPr="00670A78">
        <w:t>2.5 Research gap and conceptual framework</w:t>
      </w:r>
    </w:p>
    <w:p w14:paraId="43B8648F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3. Data and Methods</w:t>
      </w:r>
    </w:p>
    <w:p w14:paraId="13F6A130" w14:textId="77777777" w:rsidR="00E42F89" w:rsidRPr="00670A78" w:rsidRDefault="00000000">
      <w:r w:rsidRPr="00670A78">
        <w:t>3.1 Study cities and data scope</w:t>
      </w:r>
    </w:p>
    <w:p w14:paraId="77925CBD" w14:textId="77777777" w:rsidR="00E42F89" w:rsidRPr="00670A78" w:rsidRDefault="00000000">
      <w:r w:rsidRPr="00670A78">
        <w:t>3.2 TomTom City and Metro indicators</w:t>
      </w:r>
    </w:p>
    <w:p w14:paraId="44FCC89A" w14:textId="77777777" w:rsidR="00E42F89" w:rsidRPr="00670A78" w:rsidRDefault="00000000">
      <w:r w:rsidRPr="00670A78">
        <w:t>3.3 Construction of annual paired dataset</w:t>
      </w:r>
    </w:p>
    <w:p w14:paraId="30A8A539" w14:textId="77777777" w:rsidR="00E42F89" w:rsidRPr="00670A78" w:rsidRDefault="00000000">
      <w:r w:rsidRPr="00670A78">
        <w:t>3.4 Monthly congestion and rush-hour indicators</w:t>
      </w:r>
    </w:p>
    <w:p w14:paraId="50D7370D" w14:textId="77777777" w:rsidR="00E42F89" w:rsidRPr="00670A78" w:rsidRDefault="00000000">
      <w:r w:rsidRPr="00670A78">
        <w:t>3.5 24×7 driving-pattern matrix extraction</w:t>
      </w:r>
    </w:p>
    <w:p w14:paraId="6B67C22A" w14:textId="77777777" w:rsidR="00E42F89" w:rsidRPr="00670A78" w:rsidRDefault="00000000">
      <w:r w:rsidRPr="00670A78">
        <w:t>3.6 City–metro gap, ratio and normalised difference</w:t>
      </w:r>
    </w:p>
    <w:p w14:paraId="0690BA4D" w14:textId="77777777" w:rsidR="00E42F89" w:rsidRPr="00670A78" w:rsidRDefault="00000000">
      <w:r w:rsidRPr="00670A78">
        <w:t>3.7 Ranking instability and agreement analysis</w:t>
      </w:r>
    </w:p>
    <w:p w14:paraId="7947C4F5" w14:textId="77777777" w:rsidR="00E42F89" w:rsidRPr="00670A78" w:rsidRDefault="00000000">
      <w:r w:rsidRPr="00670A78">
        <w:t>3.8 Temporal difference analysis</w:t>
      </w:r>
    </w:p>
    <w:p w14:paraId="515BD28E" w14:textId="77777777" w:rsidR="00E42F89" w:rsidRPr="00670A78" w:rsidRDefault="00000000">
      <w:r w:rsidRPr="00670A78">
        <w:t>3.9 OSM and urban-context interpretation</w:t>
      </w:r>
    </w:p>
    <w:p w14:paraId="4AA96CA0" w14:textId="77777777" w:rsidR="00E42F89" w:rsidRPr="00670A78" w:rsidRDefault="00000000">
      <w:r w:rsidRPr="00670A78">
        <w:t>3.10 Robustness checks</w:t>
      </w:r>
    </w:p>
    <w:p w14:paraId="60B90433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4. Results</w:t>
      </w:r>
    </w:p>
    <w:p w14:paraId="34E2FCB5" w14:textId="77777777" w:rsidR="00E42F89" w:rsidRPr="00670A78" w:rsidRDefault="00000000">
      <w:r w:rsidRPr="00670A78">
        <w:t>4.1 Descriptive comparison of City and Metro annual indicators</w:t>
      </w:r>
    </w:p>
    <w:p w14:paraId="03057FFA" w14:textId="77777777" w:rsidR="00E42F89" w:rsidRPr="00670A78" w:rsidRDefault="00000000">
      <w:r w:rsidRPr="00670A78">
        <w:t>4.2 City–metro gaps in congestion, TT10, speed and distance driven</w:t>
      </w:r>
    </w:p>
    <w:p w14:paraId="050B5398" w14:textId="77777777" w:rsidR="00E42F89" w:rsidRPr="00670A78" w:rsidRDefault="00000000">
      <w:r w:rsidRPr="00670A78">
        <w:t>4.3 Indicator sensitivity across spatial scales</w:t>
      </w:r>
    </w:p>
    <w:p w14:paraId="1E92A36C" w14:textId="77777777" w:rsidR="00E42F89" w:rsidRPr="00670A78" w:rsidRDefault="00000000">
      <w:r w:rsidRPr="00670A78">
        <w:t>4.4 Ranking instability under City-only and Metro-only measurement</w:t>
      </w:r>
    </w:p>
    <w:p w14:paraId="7A942F5A" w14:textId="77777777" w:rsidR="00E42F89" w:rsidRPr="00670A78" w:rsidRDefault="00000000">
      <w:r w:rsidRPr="00670A78">
        <w:t>4.5 Agreement analysis of paired City and Metro indicators</w:t>
      </w:r>
    </w:p>
    <w:p w14:paraId="21E98B71" w14:textId="77777777" w:rsidR="00E42F89" w:rsidRPr="00670A78" w:rsidRDefault="00000000">
      <w:r w:rsidRPr="00670A78">
        <w:t>4.6 AM/PM peak gaps and peak asymmetry</w:t>
      </w:r>
    </w:p>
    <w:p w14:paraId="179733F6" w14:textId="77777777" w:rsidR="00E42F89" w:rsidRPr="00670A78" w:rsidRDefault="00000000">
      <w:r w:rsidRPr="00670A78">
        <w:t>4.7 Temporal city–metro difference heatmaps</w:t>
      </w:r>
    </w:p>
    <w:p w14:paraId="1EB129E7" w14:textId="77777777" w:rsidR="00E42F89" w:rsidRPr="00670A78" w:rsidRDefault="00000000">
      <w:r w:rsidRPr="00670A78">
        <w:t>4.8 Exploratory typology of scale-sensitive traffic regimes</w:t>
      </w:r>
    </w:p>
    <w:p w14:paraId="0DA14BFA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5. Discussion</w:t>
      </w:r>
    </w:p>
    <w:p w14:paraId="7FEC6D1D" w14:textId="77777777" w:rsidR="00E42F89" w:rsidRPr="00670A78" w:rsidRDefault="00000000">
      <w:r w:rsidRPr="00670A78">
        <w:t>5.1 Why city-only traffic rankings may mislead</w:t>
      </w:r>
    </w:p>
    <w:p w14:paraId="2C22F3B0" w14:textId="77777777" w:rsidR="00E42F89" w:rsidRPr="00670A78" w:rsidRDefault="00000000">
      <w:r w:rsidRPr="00670A78">
        <w:t>5.2 City-core congestion versus metro-wide mobility burden</w:t>
      </w:r>
    </w:p>
    <w:p w14:paraId="53EB6E0B" w14:textId="77777777" w:rsidR="00E42F89" w:rsidRPr="00670A78" w:rsidRDefault="00000000">
      <w:r w:rsidRPr="00670A78">
        <w:t>5.3 Indicator-specific scale sensitivity</w:t>
      </w:r>
    </w:p>
    <w:p w14:paraId="09E9844D" w14:textId="77777777" w:rsidR="00E42F89" w:rsidRPr="00670A78" w:rsidRDefault="00000000">
      <w:r w:rsidRPr="00670A78">
        <w:t>5.4 Implications for platform-based urban traffic benchmarking</w:t>
      </w:r>
    </w:p>
    <w:p w14:paraId="5E852B74" w14:textId="77777777" w:rsidR="00E42F89" w:rsidRPr="00670A78" w:rsidRDefault="00000000">
      <w:r w:rsidRPr="00670A78">
        <w:t>5.5 Planning implications for Malaysian cities</w:t>
      </w:r>
    </w:p>
    <w:p w14:paraId="35E0E4CC" w14:textId="77777777" w:rsidR="00E42F89" w:rsidRPr="00670A78" w:rsidRDefault="00000000">
      <w:r w:rsidRPr="00670A78">
        <w:t>5.6 Limitations and future research</w:t>
      </w:r>
    </w:p>
    <w:p w14:paraId="0FB62FEB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6. Conclusion</w:t>
      </w:r>
    </w:p>
    <w:p w14:paraId="5B58FAA0" w14:textId="77777777" w:rsidR="00E42F89" w:rsidRPr="00670A78" w:rsidRDefault="00000000">
      <w:r w:rsidRPr="00670A78">
        <w:t>Conclusion must be conservative: the study shows that reported platform indicators can be scale-sensitive; it does not prove true congestion patterns, causal mechanisms or exact boundary effects.</w:t>
      </w:r>
    </w:p>
    <w:p w14:paraId="7F93A510" w14:textId="77777777" w:rsidR="00E42F89" w:rsidRPr="00670A78" w:rsidRDefault="00000000">
      <w:pPr>
        <w:pStyle w:val="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lastRenderedPageBreak/>
        <w:t>8. Risk control and defensible wording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70A78" w:rsidRPr="00670A78" w14:paraId="0DA33BF2" w14:textId="77777777">
        <w:trPr>
          <w:tblHeader/>
          <w:jc w:val="center"/>
        </w:trPr>
        <w:tc>
          <w:tcPr>
            <w:tcW w:w="2409" w:type="dxa"/>
            <w:shd w:val="clear" w:color="auto" w:fill="D9EAF7"/>
            <w:vAlign w:val="center"/>
          </w:tcPr>
          <w:p w14:paraId="5E3047F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4"/>
              </w:rPr>
              <w:t>Risk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7D45404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4"/>
              </w:rPr>
              <w:t>审稿人可能质疑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64BF6EB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4"/>
              </w:rPr>
              <w:t>规避策略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1F07E9D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4"/>
              </w:rPr>
              <w:t>推荐表述</w:t>
            </w:r>
          </w:p>
        </w:tc>
      </w:tr>
      <w:tr w:rsidR="00670A78" w:rsidRPr="00670A78" w14:paraId="42E1D1D9" w14:textId="77777777">
        <w:trPr>
          <w:jc w:val="center"/>
        </w:trPr>
        <w:tc>
          <w:tcPr>
            <w:tcW w:w="2409" w:type="dxa"/>
            <w:vAlign w:val="center"/>
          </w:tcPr>
          <w:p w14:paraId="4A3F6E0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 xml:space="preserve">TomTom </w:t>
            </w:r>
            <w:proofErr w:type="spellStart"/>
            <w:r w:rsidRPr="00670A78">
              <w:rPr>
                <w:sz w:val="14"/>
              </w:rPr>
              <w:t>官方边界不可见</w:t>
            </w:r>
            <w:proofErr w:type="spellEnd"/>
          </w:p>
        </w:tc>
        <w:tc>
          <w:tcPr>
            <w:tcW w:w="2409" w:type="dxa"/>
            <w:vAlign w:val="center"/>
          </w:tcPr>
          <w:p w14:paraId="7E6D0EC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You cannot analyse boundary effects without boundary geometries.</w:t>
            </w:r>
          </w:p>
        </w:tc>
        <w:tc>
          <w:tcPr>
            <w:tcW w:w="2409" w:type="dxa"/>
            <w:vAlign w:val="center"/>
          </w:tcPr>
          <w:p w14:paraId="38DDF63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使用</w:t>
            </w:r>
            <w:r w:rsidRPr="00670A78">
              <w:rPr>
                <w:sz w:val="14"/>
              </w:rPr>
              <w:t xml:space="preserve"> scale sensitivity / reported indicators</w:t>
            </w:r>
            <w:r w:rsidRPr="00670A78">
              <w:rPr>
                <w:sz w:val="14"/>
              </w:rPr>
              <w:t>，而不是</w:t>
            </w:r>
            <w:r w:rsidRPr="00670A78">
              <w:rPr>
                <w:sz w:val="14"/>
              </w:rPr>
              <w:t xml:space="preserve"> exact boundary effects</w:t>
            </w:r>
            <w:r w:rsidRPr="00670A78">
              <w:rPr>
                <w:sz w:val="14"/>
              </w:rPr>
              <w:t>。</w:t>
            </w:r>
          </w:p>
        </w:tc>
        <w:tc>
          <w:tcPr>
            <w:tcW w:w="2409" w:type="dxa"/>
            <w:vAlign w:val="center"/>
          </w:tcPr>
          <w:p w14:paraId="363C505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This study evaluates reported City and Metro indicators rather than reconstructing proprietary platform boundaries.</w:t>
            </w:r>
          </w:p>
        </w:tc>
      </w:tr>
      <w:tr w:rsidR="00670A78" w:rsidRPr="00670A78" w14:paraId="4DD2EC26" w14:textId="77777777">
        <w:trPr>
          <w:jc w:val="center"/>
        </w:trPr>
        <w:tc>
          <w:tcPr>
            <w:tcW w:w="2409" w:type="dxa"/>
            <w:vAlign w:val="center"/>
          </w:tcPr>
          <w:p w14:paraId="6C3C41EE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4"/>
              </w:rPr>
              <w:t>样本量小</w:t>
            </w:r>
            <w:proofErr w:type="spellEnd"/>
          </w:p>
        </w:tc>
        <w:tc>
          <w:tcPr>
            <w:tcW w:w="2409" w:type="dxa"/>
            <w:vAlign w:val="center"/>
          </w:tcPr>
          <w:p w14:paraId="5EBA27F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Seven cities are insufficient for regression.</w:t>
            </w:r>
          </w:p>
        </w:tc>
        <w:tc>
          <w:tcPr>
            <w:tcW w:w="2409" w:type="dxa"/>
            <w:vAlign w:val="center"/>
          </w:tcPr>
          <w:p w14:paraId="269C2D2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不做强统计推断；使用</w:t>
            </w:r>
            <w:r w:rsidRPr="00670A78">
              <w:rPr>
                <w:sz w:val="14"/>
              </w:rPr>
              <w:t xml:space="preserve"> paired diagnostic comparison</w:t>
            </w:r>
            <w:r w:rsidRPr="00670A78">
              <w:rPr>
                <w:sz w:val="14"/>
              </w:rPr>
              <w:t>。</w:t>
            </w:r>
          </w:p>
        </w:tc>
        <w:tc>
          <w:tcPr>
            <w:tcW w:w="2409" w:type="dxa"/>
            <w:vAlign w:val="center"/>
          </w:tcPr>
          <w:p w14:paraId="507C5B9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The study is designed as an exploratory diagnostic analysis rather than a large-sample inferential model.</w:t>
            </w:r>
          </w:p>
        </w:tc>
      </w:tr>
      <w:tr w:rsidR="00670A78" w:rsidRPr="00670A78" w14:paraId="6C4391DB" w14:textId="77777777">
        <w:trPr>
          <w:jc w:val="center"/>
        </w:trPr>
        <w:tc>
          <w:tcPr>
            <w:tcW w:w="2409" w:type="dxa"/>
            <w:vAlign w:val="center"/>
          </w:tcPr>
          <w:p w14:paraId="2FBA5967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4"/>
              </w:rPr>
              <w:t>没有</w:t>
            </w:r>
            <w:proofErr w:type="spellEnd"/>
            <w:r w:rsidRPr="00670A78">
              <w:rPr>
                <w:sz w:val="14"/>
              </w:rPr>
              <w:t xml:space="preserve"> ground truth</w:t>
            </w:r>
          </w:p>
        </w:tc>
        <w:tc>
          <w:tcPr>
            <w:tcW w:w="2409" w:type="dxa"/>
            <w:vAlign w:val="center"/>
          </w:tcPr>
          <w:p w14:paraId="1B0497F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TomTom cannot be validated as true congestion.</w:t>
            </w:r>
          </w:p>
        </w:tc>
        <w:tc>
          <w:tcPr>
            <w:tcW w:w="2409" w:type="dxa"/>
            <w:vAlign w:val="center"/>
          </w:tcPr>
          <w:p w14:paraId="1A46A68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不写</w:t>
            </w:r>
            <w:r w:rsidRPr="00670A78">
              <w:rPr>
                <w:sz w:val="14"/>
              </w:rPr>
              <w:t xml:space="preserve"> accuracy</w:t>
            </w:r>
            <w:r w:rsidRPr="00670A78">
              <w:rPr>
                <w:sz w:val="14"/>
              </w:rPr>
              <w:t>；写</w:t>
            </w:r>
            <w:r w:rsidRPr="00670A78">
              <w:rPr>
                <w:sz w:val="14"/>
              </w:rPr>
              <w:t xml:space="preserve"> comparative consistency and sensitivity</w:t>
            </w:r>
            <w:r w:rsidRPr="00670A78">
              <w:rPr>
                <w:sz w:val="14"/>
              </w:rPr>
              <w:t>。</w:t>
            </w:r>
          </w:p>
        </w:tc>
        <w:tc>
          <w:tcPr>
            <w:tcW w:w="2409" w:type="dxa"/>
            <w:vAlign w:val="center"/>
          </w:tcPr>
          <w:p w14:paraId="236EC9E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The indicators are interpreted as platform-reported benchmarks, not ground-truth measurements.</w:t>
            </w:r>
          </w:p>
        </w:tc>
      </w:tr>
      <w:tr w:rsidR="00670A78" w:rsidRPr="00670A78" w14:paraId="47834F28" w14:textId="77777777">
        <w:trPr>
          <w:jc w:val="center"/>
        </w:trPr>
        <w:tc>
          <w:tcPr>
            <w:tcW w:w="2409" w:type="dxa"/>
            <w:vAlign w:val="center"/>
          </w:tcPr>
          <w:p w14:paraId="773F6595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4"/>
                <w:lang w:eastAsia="zh-CN"/>
              </w:rPr>
              <w:t xml:space="preserve">OSM </w:t>
            </w:r>
            <w:r w:rsidRPr="00670A78">
              <w:rPr>
                <w:sz w:val="14"/>
                <w:lang w:eastAsia="zh-CN"/>
              </w:rPr>
              <w:t>解释变量边界不完全匹配</w:t>
            </w:r>
          </w:p>
        </w:tc>
        <w:tc>
          <w:tcPr>
            <w:tcW w:w="2409" w:type="dxa"/>
            <w:vAlign w:val="center"/>
          </w:tcPr>
          <w:p w14:paraId="5628FC0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OSM units may not match TomTom units.</w:t>
            </w:r>
          </w:p>
        </w:tc>
        <w:tc>
          <w:tcPr>
            <w:tcW w:w="2409" w:type="dxa"/>
            <w:vAlign w:val="center"/>
          </w:tcPr>
          <w:p w14:paraId="7D59EFA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 xml:space="preserve">OSM </w:t>
            </w:r>
            <w:r w:rsidRPr="00670A78">
              <w:rPr>
                <w:sz w:val="14"/>
              </w:rPr>
              <w:t>只作</w:t>
            </w:r>
            <w:r w:rsidRPr="00670A78">
              <w:rPr>
                <w:sz w:val="14"/>
              </w:rPr>
              <w:t xml:space="preserve"> context</w:t>
            </w:r>
            <w:r w:rsidRPr="00670A78">
              <w:rPr>
                <w:sz w:val="14"/>
              </w:rPr>
              <w:t>，不作因果解释。</w:t>
            </w:r>
          </w:p>
        </w:tc>
        <w:tc>
          <w:tcPr>
            <w:tcW w:w="2409" w:type="dxa"/>
            <w:vAlign w:val="center"/>
          </w:tcPr>
          <w:p w14:paraId="7E4C130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OSM indicators are used to contextualise observed differences rather than to claim causal effects.</w:t>
            </w:r>
          </w:p>
        </w:tc>
      </w:tr>
      <w:tr w:rsidR="00670A78" w:rsidRPr="00670A78" w14:paraId="7561920D" w14:textId="77777777">
        <w:trPr>
          <w:jc w:val="center"/>
        </w:trPr>
        <w:tc>
          <w:tcPr>
            <w:tcW w:w="2409" w:type="dxa"/>
            <w:vAlign w:val="center"/>
          </w:tcPr>
          <w:p w14:paraId="13809A5C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4"/>
              </w:rPr>
              <w:t>文章可能太描述性</w:t>
            </w:r>
            <w:proofErr w:type="spellEnd"/>
          </w:p>
        </w:tc>
        <w:tc>
          <w:tcPr>
            <w:tcW w:w="2409" w:type="dxa"/>
            <w:vAlign w:val="center"/>
          </w:tcPr>
          <w:p w14:paraId="47AE735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The paper only compares values.</w:t>
            </w:r>
          </w:p>
        </w:tc>
        <w:tc>
          <w:tcPr>
            <w:tcW w:w="2409" w:type="dxa"/>
            <w:vAlign w:val="center"/>
          </w:tcPr>
          <w:p w14:paraId="0A8AD79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加入</w:t>
            </w:r>
            <w:r w:rsidRPr="00670A78">
              <w:rPr>
                <w:sz w:val="14"/>
              </w:rPr>
              <w:t xml:space="preserve"> ranking instability</w:t>
            </w:r>
            <w:r w:rsidRPr="00670A78">
              <w:rPr>
                <w:sz w:val="14"/>
              </w:rPr>
              <w:t>、</w:t>
            </w:r>
            <w:r w:rsidRPr="00670A78">
              <w:rPr>
                <w:sz w:val="14"/>
              </w:rPr>
              <w:t>Bland–Altman</w:t>
            </w:r>
            <w:r w:rsidRPr="00670A78">
              <w:rPr>
                <w:sz w:val="14"/>
              </w:rPr>
              <w:t>、</w:t>
            </w:r>
            <w:r w:rsidRPr="00670A78">
              <w:rPr>
                <w:sz w:val="14"/>
              </w:rPr>
              <w:t>ISI</w:t>
            </w:r>
            <w:r w:rsidRPr="00670A78">
              <w:rPr>
                <w:sz w:val="14"/>
              </w:rPr>
              <w:t>、</w:t>
            </w:r>
            <w:r w:rsidRPr="00670A78">
              <w:rPr>
                <w:sz w:val="14"/>
              </w:rPr>
              <w:t>temporal heatmap</w:t>
            </w:r>
            <w:r w:rsidRPr="00670A78">
              <w:rPr>
                <w:sz w:val="14"/>
              </w:rPr>
              <w:t>。</w:t>
            </w:r>
          </w:p>
        </w:tc>
        <w:tc>
          <w:tcPr>
            <w:tcW w:w="2409" w:type="dxa"/>
            <w:vAlign w:val="center"/>
          </w:tcPr>
          <w:p w14:paraId="0B7DD50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The analysis combines paired differences, agreement diagnostics and temporal matrix comparisons.</w:t>
            </w:r>
          </w:p>
        </w:tc>
      </w:tr>
      <w:tr w:rsidR="00670A78" w:rsidRPr="00670A78" w14:paraId="3C48298D" w14:textId="77777777">
        <w:trPr>
          <w:jc w:val="center"/>
        </w:trPr>
        <w:tc>
          <w:tcPr>
            <w:tcW w:w="2409" w:type="dxa"/>
            <w:vAlign w:val="center"/>
          </w:tcPr>
          <w:p w14:paraId="3B2D053E" w14:textId="77777777" w:rsidR="00E42F89" w:rsidRPr="00670A78" w:rsidRDefault="00000000">
            <w:pPr>
              <w:spacing w:after="0" w:line="240" w:lineRule="auto"/>
            </w:pPr>
            <w:proofErr w:type="spellStart"/>
            <w:r w:rsidRPr="00670A78">
              <w:rPr>
                <w:sz w:val="14"/>
              </w:rPr>
              <w:t>与前一篇</w:t>
            </w:r>
            <w:proofErr w:type="spellEnd"/>
            <w:r w:rsidRPr="00670A78">
              <w:rPr>
                <w:sz w:val="14"/>
              </w:rPr>
              <w:t xml:space="preserve"> road-network mismatch </w:t>
            </w:r>
            <w:proofErr w:type="spellStart"/>
            <w:r w:rsidRPr="00670A78">
              <w:rPr>
                <w:sz w:val="14"/>
              </w:rPr>
              <w:t>重复</w:t>
            </w:r>
            <w:proofErr w:type="spellEnd"/>
          </w:p>
        </w:tc>
        <w:tc>
          <w:tcPr>
            <w:tcW w:w="2409" w:type="dxa"/>
            <w:vAlign w:val="center"/>
          </w:tcPr>
          <w:p w14:paraId="492EF39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The topic overlaps with previous work.</w:t>
            </w:r>
          </w:p>
        </w:tc>
        <w:tc>
          <w:tcPr>
            <w:tcW w:w="2409" w:type="dxa"/>
            <w:vAlign w:val="center"/>
          </w:tcPr>
          <w:p w14:paraId="2942C59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核心改为</w:t>
            </w:r>
            <w:r w:rsidRPr="00670A78">
              <w:rPr>
                <w:sz w:val="14"/>
              </w:rPr>
              <w:t xml:space="preserve"> measurement scale sensitivity</w:t>
            </w:r>
            <w:r w:rsidRPr="00670A78">
              <w:rPr>
                <w:sz w:val="14"/>
              </w:rPr>
              <w:t>，不以</w:t>
            </w:r>
            <w:r w:rsidRPr="00670A78">
              <w:rPr>
                <w:sz w:val="14"/>
              </w:rPr>
              <w:t xml:space="preserve"> OSM </w:t>
            </w:r>
            <w:r w:rsidRPr="00670A78">
              <w:rPr>
                <w:sz w:val="14"/>
              </w:rPr>
              <w:t>为主线。</w:t>
            </w:r>
          </w:p>
        </w:tc>
        <w:tc>
          <w:tcPr>
            <w:tcW w:w="2409" w:type="dxa"/>
            <w:vAlign w:val="center"/>
          </w:tcPr>
          <w:p w14:paraId="01A1EE8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4"/>
              </w:rPr>
              <w:t>The focus is on scale-dependent measurement, not road-network explanation of traffic mismatch.</w:t>
            </w:r>
          </w:p>
        </w:tc>
      </w:tr>
    </w:tbl>
    <w:p w14:paraId="376ED9C5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8.1 Strong claims to avoid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670A78" w:rsidRPr="00670A78" w14:paraId="4A9F1427" w14:textId="77777777">
        <w:trPr>
          <w:tblHeader/>
          <w:jc w:val="center"/>
        </w:trPr>
        <w:tc>
          <w:tcPr>
            <w:tcW w:w="4819" w:type="dxa"/>
            <w:shd w:val="clear" w:color="auto" w:fill="D9EAF7"/>
            <w:vAlign w:val="center"/>
          </w:tcPr>
          <w:p w14:paraId="32A52DD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Avoid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05DB56D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Use instead</w:t>
            </w:r>
          </w:p>
        </w:tc>
      </w:tr>
      <w:tr w:rsidR="00670A78" w:rsidRPr="00670A78" w14:paraId="3652D985" w14:textId="77777777">
        <w:trPr>
          <w:jc w:val="center"/>
        </w:trPr>
        <w:tc>
          <w:tcPr>
            <w:tcW w:w="4819" w:type="dxa"/>
            <w:vAlign w:val="center"/>
          </w:tcPr>
          <w:p w14:paraId="53D4EFC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This study proves the true congestion level of Malaysian cities.</w:t>
            </w:r>
          </w:p>
        </w:tc>
        <w:tc>
          <w:tcPr>
            <w:tcW w:w="4819" w:type="dxa"/>
            <w:vAlign w:val="center"/>
          </w:tcPr>
          <w:p w14:paraId="2AFFE72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This study examines platform-reported congestion indicators.</w:t>
            </w:r>
          </w:p>
        </w:tc>
      </w:tr>
      <w:tr w:rsidR="00670A78" w:rsidRPr="00670A78" w14:paraId="1C617BA0" w14:textId="77777777">
        <w:trPr>
          <w:jc w:val="center"/>
        </w:trPr>
        <w:tc>
          <w:tcPr>
            <w:tcW w:w="4819" w:type="dxa"/>
            <w:vAlign w:val="center"/>
          </w:tcPr>
          <w:p w14:paraId="236F98D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City–metro boundary effects are precisely measured.</w:t>
            </w:r>
          </w:p>
        </w:tc>
        <w:tc>
          <w:tcPr>
            <w:tcW w:w="4819" w:type="dxa"/>
            <w:vAlign w:val="center"/>
          </w:tcPr>
          <w:p w14:paraId="0B4620B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City–metro scale sensitivity is assessed using reported platform indicators.</w:t>
            </w:r>
          </w:p>
        </w:tc>
      </w:tr>
      <w:tr w:rsidR="00670A78" w:rsidRPr="00670A78" w14:paraId="351EAA77" w14:textId="77777777">
        <w:trPr>
          <w:jc w:val="center"/>
        </w:trPr>
        <w:tc>
          <w:tcPr>
            <w:tcW w:w="4819" w:type="dxa"/>
            <w:vAlign w:val="center"/>
          </w:tcPr>
          <w:p w14:paraId="62D0619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Road density causes the scale gap.</w:t>
            </w:r>
          </w:p>
        </w:tc>
        <w:tc>
          <w:tcPr>
            <w:tcW w:w="4819" w:type="dxa"/>
            <w:vAlign w:val="center"/>
          </w:tcPr>
          <w:p w14:paraId="6F3DE8F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Road-network indicators help contextualise the observed scale gap.</w:t>
            </w:r>
          </w:p>
        </w:tc>
      </w:tr>
      <w:tr w:rsidR="00670A78" w:rsidRPr="00670A78" w14:paraId="59B24A75" w14:textId="77777777">
        <w:trPr>
          <w:jc w:val="center"/>
        </w:trPr>
        <w:tc>
          <w:tcPr>
            <w:tcW w:w="4819" w:type="dxa"/>
            <w:vAlign w:val="center"/>
          </w:tcPr>
          <w:p w14:paraId="747E583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The results are nationally representative of all Malaysian urban areas.</w:t>
            </w:r>
          </w:p>
        </w:tc>
        <w:tc>
          <w:tcPr>
            <w:tcW w:w="4819" w:type="dxa"/>
            <w:vAlign w:val="center"/>
          </w:tcPr>
          <w:p w14:paraId="2E0A3C2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The results cover all Malaysian cities available in the TomTom Traffic Index at the time of data collection.</w:t>
            </w:r>
          </w:p>
        </w:tc>
      </w:tr>
      <w:tr w:rsidR="00670A78" w:rsidRPr="00670A78" w14:paraId="1FA9B623" w14:textId="77777777">
        <w:trPr>
          <w:jc w:val="center"/>
        </w:trPr>
        <w:tc>
          <w:tcPr>
            <w:tcW w:w="4819" w:type="dxa"/>
            <w:vAlign w:val="center"/>
          </w:tcPr>
          <w:p w14:paraId="27DF3D6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The model explains why congestion occurs.</w:t>
            </w:r>
          </w:p>
        </w:tc>
        <w:tc>
          <w:tcPr>
            <w:tcW w:w="4819" w:type="dxa"/>
            <w:vAlign w:val="center"/>
          </w:tcPr>
          <w:p w14:paraId="3A4261A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The framework diagnoses how traffic indicators change across spatial scale.</w:t>
            </w:r>
          </w:p>
        </w:tc>
      </w:tr>
    </w:tbl>
    <w:p w14:paraId="4CBD2E76" w14:textId="77777777" w:rsidR="00E42F89" w:rsidRPr="00670A78" w:rsidRDefault="00000000">
      <w:pPr>
        <w:pStyle w:val="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9. Expected results and conclusion strength</w:t>
      </w:r>
    </w:p>
    <w:p w14:paraId="10AC453A" w14:textId="77777777" w:rsidR="00E42F89" w:rsidRPr="00670A78" w:rsidRDefault="00000000">
      <w:r w:rsidRPr="00670A78">
        <w:t>结论强度必须与数据、方法匹配。本文可以做中强度方法论结论，但不应做强因果结论。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670A78" w:rsidRPr="00670A78" w14:paraId="73F78491" w14:textId="77777777">
        <w:trPr>
          <w:tblHeader/>
          <w:jc w:val="center"/>
        </w:trPr>
        <w:tc>
          <w:tcPr>
            <w:tcW w:w="3213" w:type="dxa"/>
            <w:shd w:val="clear" w:color="auto" w:fill="D9EAF7"/>
            <w:vAlign w:val="center"/>
          </w:tcPr>
          <w:p w14:paraId="3BE88C2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Possible finding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6356667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Allowed conclusion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04A61EC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Not allowed</w:t>
            </w:r>
          </w:p>
        </w:tc>
      </w:tr>
      <w:tr w:rsidR="00670A78" w:rsidRPr="00670A78" w14:paraId="2D0F4E6E" w14:textId="77777777">
        <w:trPr>
          <w:jc w:val="center"/>
        </w:trPr>
        <w:tc>
          <w:tcPr>
            <w:tcW w:w="3213" w:type="dxa"/>
            <w:vAlign w:val="center"/>
          </w:tcPr>
          <w:p w14:paraId="79A5AB6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City congestion close to Metro, but TT10 differs strongly</w:t>
            </w:r>
          </w:p>
        </w:tc>
        <w:tc>
          <w:tcPr>
            <w:tcW w:w="3213" w:type="dxa"/>
            <w:vAlign w:val="center"/>
          </w:tcPr>
          <w:p w14:paraId="63AE856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Congestion percentage and realised travel-time burden can respond differently to spatial scale.</w:t>
            </w:r>
          </w:p>
        </w:tc>
        <w:tc>
          <w:tcPr>
            <w:tcW w:w="3213" w:type="dxa"/>
            <w:vAlign w:val="center"/>
          </w:tcPr>
          <w:p w14:paraId="3941D18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Congestion level is wrong or misleading in an absolute sense.</w:t>
            </w:r>
          </w:p>
        </w:tc>
      </w:tr>
      <w:tr w:rsidR="00670A78" w:rsidRPr="00670A78" w14:paraId="35A8E576" w14:textId="77777777">
        <w:trPr>
          <w:jc w:val="center"/>
        </w:trPr>
        <w:tc>
          <w:tcPr>
            <w:tcW w:w="3213" w:type="dxa"/>
            <w:vAlign w:val="center"/>
          </w:tcPr>
          <w:p w14:paraId="3F40A28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City ranking differs from Metro ranking</w:t>
            </w:r>
          </w:p>
        </w:tc>
        <w:tc>
          <w:tcPr>
            <w:tcW w:w="3213" w:type="dxa"/>
            <w:vAlign w:val="center"/>
          </w:tcPr>
          <w:p w14:paraId="2DA7392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Benchmark rankings are scale-sensitive and should report spatial scale explicitly.</w:t>
            </w:r>
          </w:p>
        </w:tc>
        <w:tc>
          <w:tcPr>
            <w:tcW w:w="3213" w:type="dxa"/>
            <w:vAlign w:val="center"/>
          </w:tcPr>
          <w:p w14:paraId="03497F6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One ranking is correct and the other is incorrect.</w:t>
            </w:r>
          </w:p>
        </w:tc>
      </w:tr>
      <w:tr w:rsidR="00670A78" w:rsidRPr="00670A78" w14:paraId="1D9BC232" w14:textId="77777777">
        <w:trPr>
          <w:jc w:val="center"/>
        </w:trPr>
        <w:tc>
          <w:tcPr>
            <w:tcW w:w="3213" w:type="dxa"/>
            <w:vAlign w:val="center"/>
          </w:tcPr>
          <w:p w14:paraId="2B77BA4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PM gap larger than AM gap</w:t>
            </w:r>
          </w:p>
        </w:tc>
        <w:tc>
          <w:tcPr>
            <w:tcW w:w="3213" w:type="dxa"/>
            <w:vAlign w:val="center"/>
          </w:tcPr>
          <w:p w14:paraId="2B333C6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Evening-period scale sensitivity may be stronger than morning-period sensitivity.</w:t>
            </w:r>
          </w:p>
        </w:tc>
        <w:tc>
          <w:tcPr>
            <w:tcW w:w="3213" w:type="dxa"/>
            <w:vAlign w:val="center"/>
          </w:tcPr>
          <w:p w14:paraId="67A0C46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Evening congestion is caused by a specific land-use factor unless tested.</w:t>
            </w:r>
          </w:p>
        </w:tc>
      </w:tr>
      <w:tr w:rsidR="00670A78" w:rsidRPr="00670A78" w14:paraId="26F3FB01" w14:textId="77777777">
        <w:trPr>
          <w:jc w:val="center"/>
        </w:trPr>
        <w:tc>
          <w:tcPr>
            <w:tcW w:w="3213" w:type="dxa"/>
            <w:vAlign w:val="center"/>
          </w:tcPr>
          <w:p w14:paraId="7B75A7A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Metro speed higher due to highway network</w:t>
            </w:r>
          </w:p>
        </w:tc>
        <w:tc>
          <w:tcPr>
            <w:tcW w:w="3213" w:type="dxa"/>
            <w:vAlign w:val="center"/>
          </w:tcPr>
          <w:p w14:paraId="6BAE2B1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Metro areas may include faster road segments that affect average speed indicators.</w:t>
            </w:r>
          </w:p>
        </w:tc>
        <w:tc>
          <w:tcPr>
            <w:tcW w:w="3213" w:type="dxa"/>
            <w:vAlign w:val="center"/>
          </w:tcPr>
          <w:p w14:paraId="13B8788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Highways cause the observed gap without a formal causal design.</w:t>
            </w:r>
          </w:p>
        </w:tc>
      </w:tr>
      <w:tr w:rsidR="00670A78" w:rsidRPr="00670A78" w14:paraId="255A0B15" w14:textId="77777777">
        <w:trPr>
          <w:jc w:val="center"/>
        </w:trPr>
        <w:tc>
          <w:tcPr>
            <w:tcW w:w="3213" w:type="dxa"/>
            <w:vAlign w:val="center"/>
          </w:tcPr>
          <w:p w14:paraId="78F11EC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Some cities show small gaps</w:t>
            </w:r>
          </w:p>
        </w:tc>
        <w:tc>
          <w:tcPr>
            <w:tcW w:w="3213" w:type="dxa"/>
            <w:vAlign w:val="center"/>
          </w:tcPr>
          <w:p w14:paraId="55372BE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These cities appear scale-stable under the selected indicators.</w:t>
            </w:r>
          </w:p>
        </w:tc>
        <w:tc>
          <w:tcPr>
            <w:tcW w:w="3213" w:type="dxa"/>
            <w:vAlign w:val="center"/>
          </w:tcPr>
          <w:p w14:paraId="409B6AB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These cities have no congestion problem.</w:t>
            </w:r>
          </w:p>
        </w:tc>
      </w:tr>
    </w:tbl>
    <w:p w14:paraId="0A67F03C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9.1 Main expected conclusion</w:t>
      </w:r>
    </w:p>
    <w:p w14:paraId="5077EBD6" w14:textId="77777777" w:rsidR="00E42F89" w:rsidRPr="00670A78" w:rsidRDefault="00000000">
      <w:r w:rsidRPr="00670A78">
        <w:t>The manuscript should conclude that city–metro scale choice can materially affect platform-based traffic-performance diagnosis, especially for realised mobility indicators such as 10 km travel time, rush-hour speed and temporal peak patterns. Therefore, city-only rankings should not be interpreted as metropolitan mobility conditions without explicit scale qualification.</w:t>
      </w:r>
    </w:p>
    <w:p w14:paraId="239F59DE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9.2 Chinese interpretation</w:t>
      </w:r>
    </w:p>
    <w:p w14:paraId="33476D6B" w14:textId="77777777" w:rsidR="00E42F89" w:rsidRPr="00670A78" w:rsidRDefault="00000000">
      <w:r w:rsidRPr="00670A78">
        <w:t>本文最终结论应强调：</w:t>
      </w:r>
      <w:r w:rsidRPr="00670A78">
        <w:t xml:space="preserve">City </w:t>
      </w:r>
      <w:r w:rsidRPr="00670A78">
        <w:t>与</w:t>
      </w:r>
      <w:r w:rsidRPr="00670A78">
        <w:t xml:space="preserve"> Metro </w:t>
      </w:r>
      <w:r w:rsidRPr="00670A78">
        <w:t>不是两个可随意混用的空间口径；在平台化交通指标中，拥堵百分比、</w:t>
      </w:r>
      <w:r w:rsidRPr="00670A78">
        <w:t xml:space="preserve">10 km </w:t>
      </w:r>
      <w:r w:rsidRPr="00670A78">
        <w:t>旅行时间、速度和高峰节律可能对空间尺度具有不同敏感性。因此，城市交通排名和政策解释必须说明测度尺度。</w:t>
      </w:r>
    </w:p>
    <w:p w14:paraId="563D7E8E" w14:textId="77777777" w:rsidR="00E42F89" w:rsidRPr="00670A78" w:rsidRDefault="00000000">
      <w:pPr>
        <w:pStyle w:val="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10. Journal positioning and submission strategy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70A78" w:rsidRPr="00670A78" w14:paraId="660312F1" w14:textId="77777777">
        <w:trPr>
          <w:tblHeader/>
          <w:jc w:val="center"/>
        </w:trPr>
        <w:tc>
          <w:tcPr>
            <w:tcW w:w="2409" w:type="dxa"/>
            <w:shd w:val="clear" w:color="auto" w:fill="D9EAF7"/>
            <w:vAlign w:val="center"/>
          </w:tcPr>
          <w:p w14:paraId="102D01E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Journal direction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29ADC49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Fit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0A5CBDD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Why suitable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22EC804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6"/>
              </w:rPr>
              <w:t>Risk</w:t>
            </w:r>
          </w:p>
        </w:tc>
      </w:tr>
      <w:tr w:rsidR="00670A78" w:rsidRPr="00670A78" w14:paraId="77F800B7" w14:textId="77777777">
        <w:trPr>
          <w:jc w:val="center"/>
        </w:trPr>
        <w:tc>
          <w:tcPr>
            <w:tcW w:w="2409" w:type="dxa"/>
            <w:vAlign w:val="center"/>
          </w:tcPr>
          <w:p w14:paraId="1EFA82E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Transport geography / urban analytics</w:t>
            </w:r>
          </w:p>
        </w:tc>
        <w:tc>
          <w:tcPr>
            <w:tcW w:w="2409" w:type="dxa"/>
            <w:vAlign w:val="center"/>
          </w:tcPr>
          <w:p w14:paraId="0B7C286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High</w:t>
            </w:r>
          </w:p>
        </w:tc>
        <w:tc>
          <w:tcPr>
            <w:tcW w:w="2409" w:type="dxa"/>
            <w:vAlign w:val="center"/>
          </w:tcPr>
          <w:p w14:paraId="35273E3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主题是</w:t>
            </w:r>
            <w:r w:rsidRPr="00670A78">
              <w:rPr>
                <w:sz w:val="16"/>
              </w:rPr>
              <w:t xml:space="preserve"> spatial scale, benchmarking, city–metro diagnosis</w:t>
            </w:r>
            <w:r w:rsidRPr="00670A78">
              <w:rPr>
                <w:sz w:val="16"/>
              </w:rPr>
              <w:t>。</w:t>
            </w:r>
          </w:p>
        </w:tc>
        <w:tc>
          <w:tcPr>
            <w:tcW w:w="2409" w:type="dxa"/>
            <w:vAlign w:val="center"/>
          </w:tcPr>
          <w:p w14:paraId="3D8A269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需要更强理论引入。</w:t>
            </w:r>
          </w:p>
        </w:tc>
      </w:tr>
      <w:tr w:rsidR="00670A78" w:rsidRPr="00670A78" w14:paraId="3F7B6396" w14:textId="77777777">
        <w:trPr>
          <w:jc w:val="center"/>
        </w:trPr>
        <w:tc>
          <w:tcPr>
            <w:tcW w:w="2409" w:type="dxa"/>
            <w:vAlign w:val="center"/>
          </w:tcPr>
          <w:p w14:paraId="004068B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Geo-information journals</w:t>
            </w:r>
          </w:p>
        </w:tc>
        <w:tc>
          <w:tcPr>
            <w:tcW w:w="2409" w:type="dxa"/>
            <w:vAlign w:val="center"/>
          </w:tcPr>
          <w:p w14:paraId="41FDEE4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High</w:t>
            </w:r>
          </w:p>
        </w:tc>
        <w:tc>
          <w:tcPr>
            <w:tcW w:w="2409" w:type="dxa"/>
            <w:vAlign w:val="center"/>
          </w:tcPr>
          <w:p w14:paraId="45A9E8D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尺度、边界、</w:t>
            </w:r>
            <w:r w:rsidRPr="00670A78">
              <w:rPr>
                <w:sz w:val="16"/>
              </w:rPr>
              <w:t>MAUP</w:t>
            </w:r>
            <w:r w:rsidRPr="00670A78">
              <w:rPr>
                <w:sz w:val="16"/>
              </w:rPr>
              <w:t>、</w:t>
            </w:r>
            <w:r w:rsidRPr="00670A78">
              <w:rPr>
                <w:sz w:val="16"/>
              </w:rPr>
              <w:t xml:space="preserve">OSM context </w:t>
            </w:r>
            <w:r w:rsidRPr="00670A78">
              <w:rPr>
                <w:sz w:val="16"/>
              </w:rPr>
              <w:t>与</w:t>
            </w:r>
            <w:r w:rsidRPr="00670A78">
              <w:rPr>
                <w:sz w:val="16"/>
              </w:rPr>
              <w:t xml:space="preserve"> GIS </w:t>
            </w:r>
            <w:r w:rsidRPr="00670A78">
              <w:rPr>
                <w:sz w:val="16"/>
              </w:rPr>
              <w:t>图表适配。</w:t>
            </w:r>
          </w:p>
        </w:tc>
        <w:tc>
          <w:tcPr>
            <w:tcW w:w="2409" w:type="dxa"/>
            <w:vAlign w:val="center"/>
          </w:tcPr>
          <w:p w14:paraId="22555A7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需要强调</w:t>
            </w:r>
            <w:r w:rsidRPr="00670A78">
              <w:rPr>
                <w:sz w:val="16"/>
              </w:rPr>
              <w:t xml:space="preserve"> spatial measurement</w:t>
            </w:r>
            <w:r w:rsidRPr="00670A78">
              <w:rPr>
                <w:sz w:val="16"/>
              </w:rPr>
              <w:t>。</w:t>
            </w:r>
          </w:p>
        </w:tc>
      </w:tr>
      <w:tr w:rsidR="00670A78" w:rsidRPr="00670A78" w14:paraId="2435B5F7" w14:textId="77777777">
        <w:trPr>
          <w:jc w:val="center"/>
        </w:trPr>
        <w:tc>
          <w:tcPr>
            <w:tcW w:w="2409" w:type="dxa"/>
            <w:vAlign w:val="center"/>
          </w:tcPr>
          <w:p w14:paraId="7BA856B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lastRenderedPageBreak/>
              <w:t>Smart mobility / applied transport journals</w:t>
            </w:r>
          </w:p>
        </w:tc>
        <w:tc>
          <w:tcPr>
            <w:tcW w:w="2409" w:type="dxa"/>
            <w:vAlign w:val="center"/>
          </w:tcPr>
          <w:p w14:paraId="0413B9E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Medium-high</w:t>
            </w:r>
          </w:p>
        </w:tc>
        <w:tc>
          <w:tcPr>
            <w:tcW w:w="2409" w:type="dxa"/>
            <w:vAlign w:val="center"/>
          </w:tcPr>
          <w:p w14:paraId="03CF5326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FCD</w:t>
            </w:r>
            <w:r w:rsidRPr="00670A78">
              <w:rPr>
                <w:sz w:val="16"/>
                <w:lang w:eastAsia="zh-CN"/>
              </w:rPr>
              <w:t>、平台指标、交通诊断适配。</w:t>
            </w:r>
          </w:p>
        </w:tc>
        <w:tc>
          <w:tcPr>
            <w:tcW w:w="2409" w:type="dxa"/>
            <w:vAlign w:val="center"/>
          </w:tcPr>
          <w:p w14:paraId="43B57AD2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需要清楚说明不是算法预测论文。</w:t>
            </w:r>
          </w:p>
        </w:tc>
      </w:tr>
      <w:tr w:rsidR="00670A78" w:rsidRPr="00670A78" w14:paraId="06131709" w14:textId="77777777">
        <w:trPr>
          <w:jc w:val="center"/>
        </w:trPr>
        <w:tc>
          <w:tcPr>
            <w:tcW w:w="2409" w:type="dxa"/>
            <w:vAlign w:val="center"/>
          </w:tcPr>
          <w:p w14:paraId="3B9278E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Pure transportation engineering journals</w:t>
            </w:r>
          </w:p>
        </w:tc>
        <w:tc>
          <w:tcPr>
            <w:tcW w:w="2409" w:type="dxa"/>
            <w:vAlign w:val="center"/>
          </w:tcPr>
          <w:p w14:paraId="7D3439C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Medium</w:t>
            </w:r>
          </w:p>
        </w:tc>
        <w:tc>
          <w:tcPr>
            <w:tcW w:w="2409" w:type="dxa"/>
            <w:vAlign w:val="center"/>
          </w:tcPr>
          <w:p w14:paraId="5798C881" w14:textId="77777777" w:rsidR="00E42F89" w:rsidRPr="00670A78" w:rsidRDefault="00000000">
            <w:pPr>
              <w:spacing w:after="0" w:line="240" w:lineRule="auto"/>
              <w:rPr>
                <w:lang w:eastAsia="zh-CN"/>
              </w:rPr>
            </w:pPr>
            <w:r w:rsidRPr="00670A78">
              <w:rPr>
                <w:sz w:val="16"/>
                <w:lang w:eastAsia="zh-CN"/>
              </w:rPr>
              <w:t>交通指标足够，但缺少地面验证和机制模型。</w:t>
            </w:r>
          </w:p>
        </w:tc>
        <w:tc>
          <w:tcPr>
            <w:tcW w:w="2409" w:type="dxa"/>
            <w:vAlign w:val="center"/>
          </w:tcPr>
          <w:p w14:paraId="1B50CE9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6"/>
              </w:rPr>
              <w:t>容易被要求</w:t>
            </w:r>
            <w:r w:rsidRPr="00670A78">
              <w:rPr>
                <w:sz w:val="16"/>
              </w:rPr>
              <w:t xml:space="preserve"> validation</w:t>
            </w:r>
            <w:r w:rsidRPr="00670A78">
              <w:rPr>
                <w:sz w:val="16"/>
              </w:rPr>
              <w:t>。</w:t>
            </w:r>
          </w:p>
        </w:tc>
      </w:tr>
    </w:tbl>
    <w:p w14:paraId="25675803" w14:textId="77777777" w:rsidR="00E42F89" w:rsidRPr="00670A78" w:rsidRDefault="00000000">
      <w:pPr>
        <w:pStyle w:val="2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10.1 Submission checklist</w:t>
      </w:r>
    </w:p>
    <w:p w14:paraId="08A83738" w14:textId="77777777" w:rsidR="00E42F89" w:rsidRPr="00670A78" w:rsidRDefault="00000000">
      <w:pPr>
        <w:pStyle w:val="a0"/>
      </w:pPr>
      <w:r w:rsidRPr="00670A78">
        <w:t>Complete the 14-row annual City–Metro paired dataset before writing Results.</w:t>
      </w:r>
    </w:p>
    <w:p w14:paraId="385B27CD" w14:textId="77777777" w:rsidR="00E42F89" w:rsidRPr="00670A78" w:rsidRDefault="00000000">
      <w:pPr>
        <w:pStyle w:val="a0"/>
      </w:pPr>
      <w:r w:rsidRPr="00670A78">
        <w:t>Extract 24×7 heatmap values into long format; do not rely on screenshots only.</w:t>
      </w:r>
    </w:p>
    <w:p w14:paraId="1C12AFC1" w14:textId="77777777" w:rsidR="00E42F89" w:rsidRPr="00670A78" w:rsidRDefault="00000000">
      <w:pPr>
        <w:pStyle w:val="a0"/>
      </w:pPr>
      <w:r w:rsidRPr="00670A78">
        <w:t>Keep a data-capture log with URL, date, scale, indicator and distance setting.</w:t>
      </w:r>
    </w:p>
    <w:p w14:paraId="13ED2F25" w14:textId="77777777" w:rsidR="00E42F89" w:rsidRPr="00670A78" w:rsidRDefault="00000000">
      <w:pPr>
        <w:pStyle w:val="a0"/>
      </w:pPr>
      <w:r w:rsidRPr="00670A78">
        <w:t>Prepare scripts for data cleaning, gap calculation, ranking, Bland–Altman plots and heatmaps.</w:t>
      </w:r>
    </w:p>
    <w:p w14:paraId="0D36627B" w14:textId="77777777" w:rsidR="00E42F89" w:rsidRPr="00670A78" w:rsidRDefault="00000000">
      <w:pPr>
        <w:pStyle w:val="a0"/>
      </w:pPr>
      <w:r w:rsidRPr="00670A78">
        <w:t>Upload processed indicator tables and code to GitHub/Zenodo; avoid redistributing proprietary raw platform pages beyond permitted screenshots or derived indicators.</w:t>
      </w:r>
    </w:p>
    <w:p w14:paraId="7A6CB975" w14:textId="77777777" w:rsidR="00E42F89" w:rsidRPr="00670A78" w:rsidRDefault="00000000">
      <w:pPr>
        <w:pStyle w:val="a0"/>
      </w:pPr>
      <w:r w:rsidRPr="00670A78">
        <w:t>State limitations clearly in Methods and Discussion, not only at the end.</w:t>
      </w:r>
    </w:p>
    <w:p w14:paraId="3813C739" w14:textId="77777777" w:rsidR="00E42F89" w:rsidRPr="00670A78" w:rsidRDefault="00000000">
      <w:pPr>
        <w:pStyle w:val="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References</w:t>
      </w:r>
    </w:p>
    <w:p w14:paraId="69CEAA26" w14:textId="77777777" w:rsidR="00E42F89" w:rsidRPr="00670A78" w:rsidRDefault="00000000">
      <w:pPr>
        <w:pStyle w:val="a0"/>
      </w:pPr>
      <w:r w:rsidRPr="00670A78">
        <w:t>Bland, J. M., &amp; Altman, D. G. (1986). Statistical methods for assessing agreement between two methods of clinical measurement. The Lancet, 327(8476), 307–310.</w:t>
      </w:r>
    </w:p>
    <w:p w14:paraId="386268D8" w14:textId="77777777" w:rsidR="00E42F89" w:rsidRPr="00670A78" w:rsidRDefault="00000000">
      <w:pPr>
        <w:pStyle w:val="a0"/>
      </w:pPr>
      <w:r w:rsidRPr="00670A78">
        <w:t>Fotheringham, A. S., &amp; Wong, D. W. S. (1991). The modifiable areal unit problem in multivariate statistical analysis. Environment and Planning A, 23(7), 1025–1044.</w:t>
      </w:r>
    </w:p>
    <w:p w14:paraId="325CF5AB" w14:textId="77777777" w:rsidR="00E42F89" w:rsidRPr="00670A78" w:rsidRDefault="00000000">
      <w:pPr>
        <w:pStyle w:val="a0"/>
      </w:pPr>
      <w:r w:rsidRPr="00670A78">
        <w:t>Kendall, M. G. (1938). A new measure of rank correlation. Biometrika, 30(1/2), 81–93.</w:t>
      </w:r>
    </w:p>
    <w:p w14:paraId="33497ABD" w14:textId="77777777" w:rsidR="00E42F89" w:rsidRPr="00670A78" w:rsidRDefault="00000000">
      <w:pPr>
        <w:pStyle w:val="a0"/>
      </w:pPr>
      <w:r w:rsidRPr="00670A78">
        <w:t>Openshaw, S. (1984). The Modifiable Areal Unit Problem. Geo Books.</w:t>
      </w:r>
    </w:p>
    <w:p w14:paraId="24F6616E" w14:textId="77777777" w:rsidR="00E42F89" w:rsidRPr="00670A78" w:rsidRDefault="00000000">
      <w:pPr>
        <w:pStyle w:val="a0"/>
      </w:pPr>
      <w:r w:rsidRPr="00670A78">
        <w:t>Spearman, C. (1904). The proof and measurement of association between two things. American Journal of Psychology, 15(1), 72–101.</w:t>
      </w:r>
    </w:p>
    <w:p w14:paraId="1B04785A" w14:textId="77777777" w:rsidR="00E42F89" w:rsidRPr="00670A78" w:rsidRDefault="00000000">
      <w:pPr>
        <w:pStyle w:val="a0"/>
      </w:pPr>
      <w:r w:rsidRPr="00670A78">
        <w:t>TomTom. (2026a). TomTom Traffic Index: Malaysia country page. https://www.tomtom.com/traffic-index/country/malaysia</w:t>
      </w:r>
    </w:p>
    <w:p w14:paraId="1589E1CD" w14:textId="77777777" w:rsidR="00E42F89" w:rsidRPr="00670A78" w:rsidRDefault="00000000">
      <w:pPr>
        <w:pStyle w:val="a0"/>
      </w:pPr>
      <w:r w:rsidRPr="00670A78">
        <w:t>TomTom. (2026b). Johor Bahru traffic report. https://www.tomtom.com/traffic-index/city/johor-bahru</w:t>
      </w:r>
    </w:p>
    <w:p w14:paraId="65A8256D" w14:textId="77777777" w:rsidR="00E42F89" w:rsidRPr="00670A78" w:rsidRDefault="00000000">
      <w:pPr>
        <w:pStyle w:val="a0"/>
      </w:pPr>
      <w:r w:rsidRPr="00670A78">
        <w:t>TomTom. (2026c). About TomTom Traffic Index. https://www.tomtom.com/traffic-index/about</w:t>
      </w:r>
    </w:p>
    <w:p w14:paraId="7EB0AA06" w14:textId="77777777" w:rsidR="00E42F89" w:rsidRPr="00670A78" w:rsidRDefault="00000000">
      <w:pPr>
        <w:pStyle w:val="a0"/>
      </w:pPr>
      <w:r w:rsidRPr="00670A78">
        <w:t>Ward, J. H. (1963). Hierarchical grouping to optimize an objective function. Journal of the American Statistical Association, 58(301), 236–244.</w:t>
      </w:r>
    </w:p>
    <w:p w14:paraId="5A77A9CE" w14:textId="77777777" w:rsidR="00E42F89" w:rsidRPr="00670A78" w:rsidRDefault="00000000">
      <w:pPr>
        <w:pStyle w:val="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Appendix A. Minimum Excel workbook structure</w:t>
      </w:r>
    </w:p>
    <w:p w14:paraId="3BBA26F7" w14:textId="77777777" w:rsidR="00E42F89" w:rsidRPr="00670A78" w:rsidRDefault="00000000">
      <w:r w:rsidRPr="00670A78">
        <w:t>建议建立一个</w:t>
      </w:r>
      <w:r w:rsidRPr="00670A78">
        <w:t xml:space="preserve"> Excel </w:t>
      </w:r>
      <w:r w:rsidRPr="00670A78">
        <w:t>工作簿，文件名：</w:t>
      </w:r>
      <w:r w:rsidRPr="00670A78">
        <w:t>TomTom_Malaysia_7Cities_City_Metro_2025_Master.xlsx</w:t>
      </w:r>
      <w:r w:rsidRPr="00670A78">
        <w:t>。至少包括以下</w:t>
      </w:r>
      <w:r w:rsidRPr="00670A78">
        <w:t xml:space="preserve"> sheets</w:t>
      </w:r>
      <w:r w:rsidRPr="00670A78">
        <w:t>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670A78" w:rsidRPr="00670A78" w14:paraId="3F425590" w14:textId="77777777">
        <w:trPr>
          <w:tblHeader/>
          <w:jc w:val="center"/>
        </w:trPr>
        <w:tc>
          <w:tcPr>
            <w:tcW w:w="3213" w:type="dxa"/>
            <w:shd w:val="clear" w:color="auto" w:fill="D9EAF7"/>
            <w:vAlign w:val="center"/>
          </w:tcPr>
          <w:p w14:paraId="6F75B77B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Sheet name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120CDD2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Row structure</w:t>
            </w:r>
          </w:p>
        </w:tc>
        <w:tc>
          <w:tcPr>
            <w:tcW w:w="3213" w:type="dxa"/>
            <w:shd w:val="clear" w:color="auto" w:fill="D9EAF7"/>
            <w:vAlign w:val="center"/>
          </w:tcPr>
          <w:p w14:paraId="128CD13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b/>
                <w:sz w:val="15"/>
              </w:rPr>
              <w:t>Purpose</w:t>
            </w:r>
          </w:p>
        </w:tc>
      </w:tr>
      <w:tr w:rsidR="00670A78" w:rsidRPr="00670A78" w14:paraId="60B1B7CD" w14:textId="77777777">
        <w:trPr>
          <w:jc w:val="center"/>
        </w:trPr>
        <w:tc>
          <w:tcPr>
            <w:tcW w:w="3213" w:type="dxa"/>
            <w:vAlign w:val="center"/>
          </w:tcPr>
          <w:p w14:paraId="6ED94C74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00_metadata</w:t>
            </w:r>
          </w:p>
        </w:tc>
        <w:tc>
          <w:tcPr>
            <w:tcW w:w="3213" w:type="dxa"/>
            <w:vAlign w:val="center"/>
          </w:tcPr>
          <w:p w14:paraId="2156E17F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one row per data source</w:t>
            </w:r>
          </w:p>
        </w:tc>
        <w:tc>
          <w:tcPr>
            <w:tcW w:w="3213" w:type="dxa"/>
            <w:vAlign w:val="center"/>
          </w:tcPr>
          <w:p w14:paraId="1D15999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URL, capture date, collector, notes, unit rules.</w:t>
            </w:r>
          </w:p>
        </w:tc>
      </w:tr>
      <w:tr w:rsidR="00670A78" w:rsidRPr="00670A78" w14:paraId="5648E92F" w14:textId="77777777">
        <w:trPr>
          <w:jc w:val="center"/>
        </w:trPr>
        <w:tc>
          <w:tcPr>
            <w:tcW w:w="3213" w:type="dxa"/>
            <w:vAlign w:val="center"/>
          </w:tcPr>
          <w:p w14:paraId="1CE5290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01_annual_overview</w:t>
            </w:r>
          </w:p>
        </w:tc>
        <w:tc>
          <w:tcPr>
            <w:tcW w:w="3213" w:type="dxa"/>
            <w:vAlign w:val="center"/>
          </w:tcPr>
          <w:p w14:paraId="1E6417E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7 × 2 rows</w:t>
            </w:r>
          </w:p>
        </w:tc>
        <w:tc>
          <w:tcPr>
            <w:tcW w:w="3213" w:type="dxa"/>
            <w:vAlign w:val="center"/>
          </w:tcPr>
          <w:p w14:paraId="00F51C3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Main City–Metro paired annual table.</w:t>
            </w:r>
          </w:p>
        </w:tc>
      </w:tr>
      <w:tr w:rsidR="00670A78" w:rsidRPr="00670A78" w14:paraId="44932BCA" w14:textId="77777777">
        <w:trPr>
          <w:jc w:val="center"/>
        </w:trPr>
        <w:tc>
          <w:tcPr>
            <w:tcW w:w="3213" w:type="dxa"/>
            <w:vAlign w:val="center"/>
          </w:tcPr>
          <w:p w14:paraId="4626A38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02_monthly_congestion</w:t>
            </w:r>
          </w:p>
        </w:tc>
        <w:tc>
          <w:tcPr>
            <w:tcW w:w="3213" w:type="dxa"/>
            <w:vAlign w:val="center"/>
          </w:tcPr>
          <w:p w14:paraId="535CC6EA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7 × 2 × 2 × 12 rows</w:t>
            </w:r>
          </w:p>
        </w:tc>
        <w:tc>
          <w:tcPr>
            <w:tcW w:w="3213" w:type="dxa"/>
            <w:vAlign w:val="center"/>
          </w:tcPr>
          <w:p w14:paraId="2947DA6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Monthly congestion in long format.</w:t>
            </w:r>
          </w:p>
        </w:tc>
      </w:tr>
      <w:tr w:rsidR="00670A78" w:rsidRPr="00670A78" w14:paraId="45008EEF" w14:textId="77777777">
        <w:trPr>
          <w:jc w:val="center"/>
        </w:trPr>
        <w:tc>
          <w:tcPr>
            <w:tcW w:w="3213" w:type="dxa"/>
            <w:vAlign w:val="center"/>
          </w:tcPr>
          <w:p w14:paraId="5D03B3F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03_rush_hour_summary</w:t>
            </w:r>
          </w:p>
        </w:tc>
        <w:tc>
          <w:tcPr>
            <w:tcW w:w="3213" w:type="dxa"/>
            <w:vAlign w:val="center"/>
          </w:tcPr>
          <w:p w14:paraId="721B941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7 × 2 × 2 peak rows</w:t>
            </w:r>
          </w:p>
        </w:tc>
        <w:tc>
          <w:tcPr>
            <w:tcW w:w="3213" w:type="dxa"/>
            <w:vAlign w:val="center"/>
          </w:tcPr>
          <w:p w14:paraId="270D519C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AM/PM summary indicators.</w:t>
            </w:r>
          </w:p>
        </w:tc>
      </w:tr>
      <w:tr w:rsidR="00670A78" w:rsidRPr="00670A78" w14:paraId="350ED49E" w14:textId="77777777">
        <w:trPr>
          <w:jc w:val="center"/>
        </w:trPr>
        <w:tc>
          <w:tcPr>
            <w:tcW w:w="3213" w:type="dxa"/>
            <w:vAlign w:val="center"/>
          </w:tcPr>
          <w:p w14:paraId="417848A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04_heatmap_long</w:t>
            </w:r>
          </w:p>
        </w:tc>
        <w:tc>
          <w:tcPr>
            <w:tcW w:w="3213" w:type="dxa"/>
            <w:vAlign w:val="center"/>
          </w:tcPr>
          <w:p w14:paraId="3E891D98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7 × 2 × 3 × 168 rows</w:t>
            </w:r>
          </w:p>
        </w:tc>
        <w:tc>
          <w:tcPr>
            <w:tcW w:w="3213" w:type="dxa"/>
            <w:vAlign w:val="center"/>
          </w:tcPr>
          <w:p w14:paraId="2D4116A7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Travel time, congestion and speed matrices.</w:t>
            </w:r>
          </w:p>
        </w:tc>
      </w:tr>
      <w:tr w:rsidR="00670A78" w:rsidRPr="00670A78" w14:paraId="434F3820" w14:textId="77777777">
        <w:trPr>
          <w:jc w:val="center"/>
        </w:trPr>
        <w:tc>
          <w:tcPr>
            <w:tcW w:w="3213" w:type="dxa"/>
            <w:vAlign w:val="center"/>
          </w:tcPr>
          <w:p w14:paraId="14FF83F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05_osm_context</w:t>
            </w:r>
          </w:p>
        </w:tc>
        <w:tc>
          <w:tcPr>
            <w:tcW w:w="3213" w:type="dxa"/>
            <w:vAlign w:val="center"/>
          </w:tcPr>
          <w:p w14:paraId="2976A161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7 rows</w:t>
            </w:r>
          </w:p>
        </w:tc>
        <w:tc>
          <w:tcPr>
            <w:tcW w:w="3213" w:type="dxa"/>
            <w:vAlign w:val="center"/>
          </w:tcPr>
          <w:p w14:paraId="4719C960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Road-network and boundary context.</w:t>
            </w:r>
          </w:p>
        </w:tc>
      </w:tr>
      <w:tr w:rsidR="00670A78" w:rsidRPr="00670A78" w14:paraId="616DE6DE" w14:textId="77777777">
        <w:trPr>
          <w:jc w:val="center"/>
        </w:trPr>
        <w:tc>
          <w:tcPr>
            <w:tcW w:w="3213" w:type="dxa"/>
            <w:vAlign w:val="center"/>
          </w:tcPr>
          <w:p w14:paraId="5128EBB5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06_background</w:t>
            </w:r>
          </w:p>
        </w:tc>
        <w:tc>
          <w:tcPr>
            <w:tcW w:w="3213" w:type="dxa"/>
            <w:vAlign w:val="center"/>
          </w:tcPr>
          <w:p w14:paraId="29E74E8E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7 rows</w:t>
            </w:r>
          </w:p>
        </w:tc>
        <w:tc>
          <w:tcPr>
            <w:tcW w:w="3213" w:type="dxa"/>
            <w:vAlign w:val="center"/>
          </w:tcPr>
          <w:p w14:paraId="29BD623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Population, vehicle and urban background proxies.</w:t>
            </w:r>
          </w:p>
        </w:tc>
      </w:tr>
      <w:tr w:rsidR="00670A78" w:rsidRPr="00670A78" w14:paraId="75819A64" w14:textId="77777777">
        <w:trPr>
          <w:jc w:val="center"/>
        </w:trPr>
        <w:tc>
          <w:tcPr>
            <w:tcW w:w="3213" w:type="dxa"/>
            <w:vAlign w:val="center"/>
          </w:tcPr>
          <w:p w14:paraId="503EBB66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07_derived_metrics</w:t>
            </w:r>
          </w:p>
        </w:tc>
        <w:tc>
          <w:tcPr>
            <w:tcW w:w="3213" w:type="dxa"/>
            <w:vAlign w:val="center"/>
          </w:tcPr>
          <w:p w14:paraId="11A80F59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7 rows</w:t>
            </w:r>
          </w:p>
        </w:tc>
        <w:tc>
          <w:tcPr>
            <w:tcW w:w="3213" w:type="dxa"/>
            <w:vAlign w:val="center"/>
          </w:tcPr>
          <w:p w14:paraId="7761944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Gaps, ratios, ND, PAI, ISI and rank shift.</w:t>
            </w:r>
          </w:p>
        </w:tc>
      </w:tr>
      <w:tr w:rsidR="00670A78" w:rsidRPr="00670A78" w14:paraId="54910C9A" w14:textId="77777777">
        <w:trPr>
          <w:jc w:val="center"/>
        </w:trPr>
        <w:tc>
          <w:tcPr>
            <w:tcW w:w="3213" w:type="dxa"/>
            <w:vAlign w:val="center"/>
          </w:tcPr>
          <w:p w14:paraId="080CD642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08_robustness</w:t>
            </w:r>
          </w:p>
        </w:tc>
        <w:tc>
          <w:tcPr>
            <w:tcW w:w="3213" w:type="dxa"/>
            <w:vAlign w:val="center"/>
          </w:tcPr>
          <w:p w14:paraId="6F84530D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one row per test</w:t>
            </w:r>
          </w:p>
        </w:tc>
        <w:tc>
          <w:tcPr>
            <w:tcW w:w="3213" w:type="dxa"/>
            <w:vAlign w:val="center"/>
          </w:tcPr>
          <w:p w14:paraId="427318F3" w14:textId="77777777" w:rsidR="00E42F89" w:rsidRPr="00670A78" w:rsidRDefault="00000000">
            <w:pPr>
              <w:spacing w:after="0" w:line="240" w:lineRule="auto"/>
            </w:pPr>
            <w:r w:rsidRPr="00670A78">
              <w:rPr>
                <w:sz w:val="15"/>
              </w:rPr>
              <w:t>Sensitivity and robustness results.</w:t>
            </w:r>
          </w:p>
        </w:tc>
      </w:tr>
    </w:tbl>
    <w:p w14:paraId="5B9D401E" w14:textId="77777777" w:rsidR="00E42F89" w:rsidRPr="00670A78" w:rsidRDefault="00000000">
      <w:pPr>
        <w:pStyle w:val="1"/>
        <w:rPr>
          <w:color w:val="auto"/>
        </w:rPr>
      </w:pPr>
      <w:r w:rsidRPr="00670A78">
        <w:rPr>
          <w:rFonts w:ascii="Times New Roman" w:eastAsia="Noto Sans CJK SC" w:hAnsi="Times New Roman"/>
          <w:b w:val="0"/>
          <w:color w:val="auto"/>
        </w:rPr>
        <w:t>Appendix B. Data-analysis workflow</w:t>
      </w:r>
    </w:p>
    <w:p w14:paraId="3AB1A660" w14:textId="77777777" w:rsidR="00E42F89" w:rsidRPr="00670A78" w:rsidRDefault="00000000">
      <w:r w:rsidRPr="00670A78">
        <w:t>1.    Collect annual overview indicators for each City and Metro page.</w:t>
      </w:r>
    </w:p>
    <w:p w14:paraId="4C4884CB" w14:textId="77777777" w:rsidR="00E42F89" w:rsidRPr="00670A78" w:rsidRDefault="00000000">
      <w:r w:rsidRPr="00670A78">
        <w:t>2.    Collect monthly congestion values for 2024 and 2025 in long format.</w:t>
      </w:r>
    </w:p>
    <w:p w14:paraId="151B4A5F" w14:textId="77777777" w:rsidR="00E42F89" w:rsidRPr="00670A78" w:rsidRDefault="00000000">
      <w:r w:rsidRPr="00670A78">
        <w:t>3.    Collect AM and PM rush-hour summary indicators if available.</w:t>
      </w:r>
    </w:p>
    <w:p w14:paraId="5300E432" w14:textId="77777777" w:rsidR="00E42F89" w:rsidRPr="00670A78" w:rsidRDefault="00000000">
      <w:r w:rsidRPr="00670A78">
        <w:t>4.    Collect 24×7 heatmap values for travel time, congestion level and speed, using distance = 10 km.</w:t>
      </w:r>
    </w:p>
    <w:p w14:paraId="643F2927" w14:textId="77777777" w:rsidR="00E42F89" w:rsidRPr="00670A78" w:rsidRDefault="00000000">
      <w:r w:rsidRPr="00670A78">
        <w:lastRenderedPageBreak/>
        <w:t>5.    Convert all travel-time values to seconds and minutes; keep original text as an audit field.</w:t>
      </w:r>
    </w:p>
    <w:p w14:paraId="661AB8F3" w14:textId="77777777" w:rsidR="00E42F89" w:rsidRPr="00670A78" w:rsidRDefault="00000000">
      <w:r w:rsidRPr="00670A78">
        <w:t>6.    Create paired City–Metro tables by city, year and indicator.</w:t>
      </w:r>
    </w:p>
    <w:p w14:paraId="2A361ED1" w14:textId="77777777" w:rsidR="00E42F89" w:rsidRPr="00670A78" w:rsidRDefault="00000000">
      <w:r w:rsidRPr="00670A78">
        <w:t>7.    Calculate gap, ratio and normalised difference for all annual indicators.</w:t>
      </w:r>
    </w:p>
    <w:p w14:paraId="7948F7E9" w14:textId="77777777" w:rsidR="00E42F89" w:rsidRPr="00670A78" w:rsidRDefault="00000000">
      <w:r w:rsidRPr="00670A78">
        <w:t>8.    Calculate AM/PM indicators, PAI and delta PAI.</w:t>
      </w:r>
    </w:p>
    <w:p w14:paraId="7F5BAA7D" w14:textId="77777777" w:rsidR="00E42F89" w:rsidRPr="00670A78" w:rsidRDefault="00000000">
      <w:r w:rsidRPr="00670A78">
        <w:t>9.    Calculate ranking instability and rank-correlation measures.</w:t>
      </w:r>
    </w:p>
    <w:p w14:paraId="7AA87F8F" w14:textId="77777777" w:rsidR="00E42F89" w:rsidRPr="00670A78" w:rsidRDefault="00000000">
      <w:r w:rsidRPr="00670A78">
        <w:t>10.    Draw gap bars, slopegraph, Bland–Altman plots, temporal difference heatmaps and typology heatmap.</w:t>
      </w:r>
    </w:p>
    <w:p w14:paraId="2D327E6C" w14:textId="77777777" w:rsidR="00E42F89" w:rsidRPr="00670A78" w:rsidRDefault="00000000">
      <w:r w:rsidRPr="00670A78">
        <w:t>11.    Interpret results as scale sensitivity, not as causal mechanisms or absolute truth.</w:t>
      </w:r>
    </w:p>
    <w:sectPr w:rsidR="00E42F89" w:rsidRPr="00670A78" w:rsidSect="00034616">
      <w:footerReference w:type="default" r:id="rId8"/>
      <w:pgSz w:w="11906" w:h="16838"/>
      <w:pgMar w:top="119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407CC" w14:textId="77777777" w:rsidR="00C13A87" w:rsidRDefault="00C13A87">
      <w:pPr>
        <w:spacing w:after="0" w:line="240" w:lineRule="auto"/>
      </w:pPr>
      <w:r>
        <w:separator/>
      </w:r>
    </w:p>
  </w:endnote>
  <w:endnote w:type="continuationSeparator" w:id="0">
    <w:p w14:paraId="749FC5B3" w14:textId="77777777" w:rsidR="00C13A87" w:rsidRDefault="00C13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7B9C6" w14:textId="77777777" w:rsidR="00E42F89" w:rsidRDefault="00000000">
    <w:pPr>
      <w:pStyle w:val="a7"/>
      <w:jc w:val="center"/>
    </w:pPr>
    <w:r>
      <w:rPr>
        <w:color w:val="787878"/>
        <w:sz w:val="16"/>
      </w:rPr>
      <w:t>City–Metro Scale Sensitivity Research Design | Prepared for manuscript planning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64304" w14:textId="77777777" w:rsidR="00C13A87" w:rsidRDefault="00C13A87">
      <w:pPr>
        <w:spacing w:after="0" w:line="240" w:lineRule="auto"/>
      </w:pPr>
      <w:r>
        <w:separator/>
      </w:r>
    </w:p>
  </w:footnote>
  <w:footnote w:type="continuationSeparator" w:id="0">
    <w:p w14:paraId="39AD9945" w14:textId="77777777" w:rsidR="00C13A87" w:rsidRDefault="00C13A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332733">
    <w:abstractNumId w:val="8"/>
  </w:num>
  <w:num w:numId="2" w16cid:durableId="2019893094">
    <w:abstractNumId w:val="6"/>
  </w:num>
  <w:num w:numId="3" w16cid:durableId="2084181867">
    <w:abstractNumId w:val="5"/>
  </w:num>
  <w:num w:numId="4" w16cid:durableId="2118022613">
    <w:abstractNumId w:val="4"/>
  </w:num>
  <w:num w:numId="5" w16cid:durableId="1717386798">
    <w:abstractNumId w:val="7"/>
  </w:num>
  <w:num w:numId="6" w16cid:durableId="368729265">
    <w:abstractNumId w:val="3"/>
  </w:num>
  <w:num w:numId="7" w16cid:durableId="458232012">
    <w:abstractNumId w:val="2"/>
  </w:num>
  <w:num w:numId="8" w16cid:durableId="1169097240">
    <w:abstractNumId w:val="1"/>
  </w:num>
  <w:num w:numId="9" w16cid:durableId="125732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AF0"/>
    <w:rsid w:val="0015074B"/>
    <w:rsid w:val="00271C70"/>
    <w:rsid w:val="0029639D"/>
    <w:rsid w:val="00326F90"/>
    <w:rsid w:val="0056391D"/>
    <w:rsid w:val="006406CD"/>
    <w:rsid w:val="00670A78"/>
    <w:rsid w:val="00AA1D8D"/>
    <w:rsid w:val="00B47730"/>
    <w:rsid w:val="00C13A87"/>
    <w:rsid w:val="00CB0664"/>
    <w:rsid w:val="00E42F89"/>
    <w:rsid w:val="00FC693F"/>
    <w:rsid w:val="00FD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DF39F"/>
  <w14:defaultImageDpi w14:val="300"/>
  <w15:docId w15:val="{6C57FD5E-952A-4BBE-8BE4-63EFCC6A4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Noto Sans CJK SC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i/>
      <w:color w:val="595959"/>
      <w:sz w:val="17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3824</Words>
  <Characters>21800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City-Metro Scale Sensitivity Research Design</dc:title>
  <dc:subject>Q2-target, Q1-standard manuscript planning document</dc:subject>
  <dc:creator>OpenAI</dc:creator>
  <cp:keywords>TomTom, floating car data, city-metro, scale sensitivity, congestion, Malaysia</cp:keywords>
  <dc:description>generated by python-docx</dc:description>
  <cp:lastModifiedBy>wengjie sun</cp:lastModifiedBy>
  <cp:revision>2</cp:revision>
  <dcterms:created xsi:type="dcterms:W3CDTF">2026-05-06T12:34:00Z</dcterms:created>
  <dcterms:modified xsi:type="dcterms:W3CDTF">2026-05-06T12:34:00Z</dcterms:modified>
  <cp:category/>
</cp:coreProperties>
</file>