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A1250">
      <w:pPr>
        <w:spacing w:after="40"/>
        <w:jc w:val="center"/>
      </w:pPr>
      <w:r>
        <w:rPr>
          <w:b/>
          <w:bCs/>
          <w:color w:val="2E6F95"/>
          <w:sz w:val="18"/>
          <w:szCs w:val="18"/>
        </w:rPr>
        <w:t>DATA ANALYTICS PROJECT REPORT</w:t>
      </w:r>
    </w:p>
    <w:p w14:paraId="5D50FD01">
      <w:pPr>
        <w:spacing w:after="0"/>
        <w:jc w:val="center"/>
      </w:pPr>
      <w:r>
        <w:rPr>
          <w:b/>
          <w:bCs/>
          <w:color w:val="1F3A5F"/>
          <w:sz w:val="40"/>
          <w:szCs w:val="40"/>
        </w:rPr>
        <w:t xml:space="preserve">Customer </w:t>
      </w:r>
      <w:r>
        <w:rPr>
          <w:rFonts w:hint="default"/>
          <w:b/>
          <w:bCs/>
          <w:color w:val="1F3A5F"/>
          <w:sz w:val="40"/>
          <w:szCs w:val="40"/>
          <w:lang w:val="en-US"/>
        </w:rPr>
        <w:t>Churn</w:t>
      </w:r>
      <w:r>
        <w:rPr>
          <w:b/>
          <w:bCs/>
          <w:color w:val="1F3A5F"/>
          <w:sz w:val="40"/>
          <w:szCs w:val="40"/>
        </w:rPr>
        <w:t xml:space="preserve"> Analysis</w:t>
      </w:r>
      <w:bookmarkStart w:id="0" w:name="_GoBack"/>
      <w:bookmarkEnd w:id="0"/>
    </w:p>
    <w:p w14:paraId="47E6FADF">
      <w:pPr>
        <w:spacing w:before="60" w:after="200"/>
        <w:jc w:val="center"/>
      </w:pPr>
      <w:r>
        <w:rPr>
          <w:i/>
          <w:iCs/>
          <w:color w:val="5B6670"/>
          <w:sz w:val="18"/>
          <w:szCs w:val="18"/>
        </w:rPr>
        <w:t>An End-to-End Analysis of Retail Customer Purchase Patterns  |  Python • SQL Server • Power BI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6"/>
        <w:gridCol w:w="3307"/>
        <w:gridCol w:w="3307"/>
      </w:tblGrid>
      <w:tr w14:paraId="2943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shd w:val="clear" w:color="auto" w:fill="EDF2F6"/>
            <w:tcMar>
              <w:top w:w="140" w:type="dxa"/>
              <w:left w:w="100" w:type="dxa"/>
              <w:bottom w:w="140" w:type="dxa"/>
              <w:right w:w="100" w:type="dxa"/>
            </w:tcMar>
            <w:vAlign w:val="center"/>
          </w:tcPr>
          <w:p w14:paraId="750F2893">
            <w:pPr>
              <w:spacing w:after="20"/>
              <w:jc w:val="center"/>
            </w:pPr>
            <w:r>
              <w:rPr>
                <w:b/>
                <w:bCs/>
                <w:color w:val="1F3A5F"/>
                <w:sz w:val="26"/>
                <w:szCs w:val="26"/>
              </w:rPr>
              <w:t>3,900</w:t>
            </w:r>
          </w:p>
          <w:p w14:paraId="7F4AD3C7">
            <w:pPr>
              <w:jc w:val="center"/>
            </w:pPr>
            <w:r>
              <w:rPr>
                <w:color w:val="5B6670"/>
                <w:sz w:val="16"/>
                <w:szCs w:val="16"/>
              </w:rPr>
              <w:t>Total Customers</w:t>
            </w:r>
          </w:p>
        </w:tc>
        <w:tc>
          <w:tcPr>
            <w:tcW w:w="1650" w:type="pct"/>
            <w:shd w:val="clear" w:color="auto" w:fill="EDF2F6"/>
            <w:tcMar>
              <w:top w:w="140" w:type="dxa"/>
              <w:left w:w="100" w:type="dxa"/>
              <w:bottom w:w="140" w:type="dxa"/>
              <w:right w:w="100" w:type="dxa"/>
            </w:tcMar>
            <w:vAlign w:val="center"/>
          </w:tcPr>
          <w:p w14:paraId="6009A86F">
            <w:pPr>
              <w:spacing w:after="20"/>
              <w:jc w:val="center"/>
            </w:pPr>
            <w:r>
              <w:rPr>
                <w:b/>
                <w:bCs/>
                <w:color w:val="1F3A5F"/>
                <w:sz w:val="26"/>
                <w:szCs w:val="26"/>
              </w:rPr>
              <w:t>$233,081</w:t>
            </w:r>
          </w:p>
          <w:p w14:paraId="1A79DEA0">
            <w:pPr>
              <w:jc w:val="center"/>
            </w:pPr>
            <w:r>
              <w:rPr>
                <w:color w:val="5B6670"/>
                <w:sz w:val="16"/>
                <w:szCs w:val="16"/>
              </w:rPr>
              <w:t>Total Revenue</w:t>
            </w:r>
          </w:p>
        </w:tc>
        <w:tc>
          <w:tcPr>
            <w:tcW w:w="1650" w:type="pct"/>
            <w:shd w:val="clear" w:color="auto" w:fill="EDF2F6"/>
            <w:tcMar>
              <w:top w:w="140" w:type="dxa"/>
              <w:left w:w="100" w:type="dxa"/>
              <w:bottom w:w="140" w:type="dxa"/>
              <w:right w:w="100" w:type="dxa"/>
            </w:tcMar>
            <w:vAlign w:val="center"/>
          </w:tcPr>
          <w:p w14:paraId="1B264214">
            <w:pPr>
              <w:spacing w:after="20"/>
              <w:jc w:val="center"/>
            </w:pPr>
            <w:r>
              <w:rPr>
                <w:b/>
                <w:bCs/>
                <w:color w:val="1F3A5F"/>
                <w:sz w:val="26"/>
                <w:szCs w:val="26"/>
              </w:rPr>
              <w:t>$59.76</w:t>
            </w:r>
          </w:p>
          <w:p w14:paraId="1DDC9D77">
            <w:pPr>
              <w:jc w:val="center"/>
            </w:pPr>
            <w:r>
              <w:rPr>
                <w:color w:val="5B6670"/>
                <w:sz w:val="16"/>
                <w:szCs w:val="16"/>
              </w:rPr>
              <w:t>Avg. Purchase Value</w:t>
            </w:r>
          </w:p>
        </w:tc>
      </w:tr>
      <w:tr w14:paraId="6CAD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shd w:val="clear" w:color="auto" w:fill="EDF2F6"/>
            <w:tcMar>
              <w:top w:w="140" w:type="dxa"/>
              <w:left w:w="100" w:type="dxa"/>
              <w:bottom w:w="140" w:type="dxa"/>
              <w:right w:w="100" w:type="dxa"/>
            </w:tcMar>
            <w:vAlign w:val="center"/>
          </w:tcPr>
          <w:p w14:paraId="5996940B">
            <w:pPr>
              <w:spacing w:after="20"/>
              <w:jc w:val="center"/>
            </w:pPr>
            <w:r>
              <w:rPr>
                <w:b/>
                <w:bCs/>
                <w:color w:val="1F3A5F"/>
                <w:sz w:val="26"/>
                <w:szCs w:val="26"/>
              </w:rPr>
              <w:t>3.75 / 5</w:t>
            </w:r>
          </w:p>
          <w:p w14:paraId="17547238">
            <w:pPr>
              <w:jc w:val="center"/>
            </w:pPr>
            <w:r>
              <w:rPr>
                <w:color w:val="5B6670"/>
                <w:sz w:val="16"/>
                <w:szCs w:val="16"/>
              </w:rPr>
              <w:t>Avg. Review Rating</w:t>
            </w:r>
          </w:p>
        </w:tc>
        <w:tc>
          <w:tcPr>
            <w:tcW w:w="1650" w:type="pct"/>
            <w:shd w:val="clear" w:color="auto" w:fill="EDF2F6"/>
            <w:tcMar>
              <w:top w:w="140" w:type="dxa"/>
              <w:left w:w="100" w:type="dxa"/>
              <w:bottom w:w="140" w:type="dxa"/>
              <w:right w:w="100" w:type="dxa"/>
            </w:tcMar>
            <w:vAlign w:val="center"/>
          </w:tcPr>
          <w:p w14:paraId="26CD4761">
            <w:pPr>
              <w:spacing w:after="20"/>
              <w:jc w:val="center"/>
            </w:pPr>
            <w:r>
              <w:rPr>
                <w:b/>
                <w:bCs/>
                <w:color w:val="1F3A5F"/>
                <w:sz w:val="26"/>
                <w:szCs w:val="26"/>
              </w:rPr>
              <w:t>27.0%</w:t>
            </w:r>
          </w:p>
          <w:p w14:paraId="0C2CA0F7">
            <w:pPr>
              <w:jc w:val="center"/>
            </w:pPr>
            <w:r>
              <w:rPr>
                <w:color w:val="5B6670"/>
                <w:sz w:val="16"/>
                <w:szCs w:val="16"/>
              </w:rPr>
              <w:t>Subscribed Customers</w:t>
            </w:r>
          </w:p>
        </w:tc>
        <w:tc>
          <w:tcPr>
            <w:tcW w:w="1650" w:type="pct"/>
            <w:shd w:val="clear" w:color="auto" w:fill="EDF2F6"/>
            <w:tcMar>
              <w:top w:w="140" w:type="dxa"/>
              <w:left w:w="100" w:type="dxa"/>
              <w:bottom w:w="140" w:type="dxa"/>
              <w:right w:w="100" w:type="dxa"/>
            </w:tcMar>
            <w:vAlign w:val="center"/>
          </w:tcPr>
          <w:p w14:paraId="387391E0">
            <w:pPr>
              <w:spacing w:after="20"/>
              <w:jc w:val="center"/>
            </w:pPr>
            <w:r>
              <w:rPr>
                <w:b/>
                <w:bCs/>
                <w:color w:val="1F3A5F"/>
                <w:sz w:val="26"/>
                <w:szCs w:val="26"/>
              </w:rPr>
              <w:t>2,339</w:t>
            </w:r>
          </w:p>
          <w:p w14:paraId="0E2C6161">
            <w:pPr>
              <w:jc w:val="center"/>
            </w:pPr>
            <w:r>
              <w:rPr>
                <w:color w:val="5B6670"/>
                <w:sz w:val="16"/>
                <w:szCs w:val="16"/>
              </w:rPr>
              <w:t>Loyal Customers</w:t>
            </w:r>
          </w:p>
        </w:tc>
      </w:tr>
    </w:tbl>
    <w:p w14:paraId="3B130444">
      <w:pPr>
        <w:spacing w:after="160"/>
      </w:pPr>
    </w:p>
    <w:p w14:paraId="4E3161B0">
      <w:pPr>
        <w:pStyle w:val="2"/>
        <w:spacing w:before="240" w:after="100"/>
      </w:pPr>
      <w:r>
        <w:rPr>
          <w:b/>
          <w:bCs/>
          <w:color w:val="1F3A5F"/>
          <w:sz w:val="26"/>
          <w:szCs w:val="26"/>
        </w:rPr>
        <w:t>1. Executive Summary</w:t>
      </w:r>
    </w:p>
    <w:p w14:paraId="734C6A82">
      <w:pPr>
        <w:spacing w:after="160" w:line="300" w:lineRule="auto"/>
      </w:pPr>
      <w:r>
        <w:rPr>
          <w:color w:val="222222"/>
          <w:sz w:val="21"/>
          <w:szCs w:val="21"/>
        </w:rPr>
        <w:t>This report presents an end-to-end analysis of retail customer shopping behavior, built on a dataset of 3,900 transaction records spanning 18 attributes covering demographics, purchase details, and engagement signals. The project followed a complete analytics pipeline: data cleaning and feature engineering in Python, relational analysis using SQL Server, and interactive visualization through a Power BI dashboard, with the objective of uncovering actionable patterns in customer spending, product performance, loyalty, and channel preference.</w:t>
      </w:r>
    </w:p>
    <w:p w14:paraId="7637B700">
      <w:pPr>
        <w:spacing w:before="60" w:after="60"/>
      </w:pPr>
      <w:r>
        <w:rPr>
          <w:b/>
          <w:bCs/>
          <w:color w:val="1F3A5F"/>
          <w:sz w:val="20"/>
          <w:szCs w:val="20"/>
        </w:rPr>
        <w:t>Headline Findings</w:t>
      </w:r>
    </w:p>
    <w:p w14:paraId="75DDDC06">
      <w:pPr>
        <w:pStyle w:val="16"/>
        <w:numPr>
          <w:ilvl w:val="0"/>
          <w:numId w:val="1"/>
        </w:numPr>
        <w:spacing w:after="90" w:line="290" w:lineRule="auto"/>
      </w:pPr>
      <w:r>
        <w:rPr>
          <w:color w:val="222222"/>
          <w:sz w:val="21"/>
          <w:szCs w:val="21"/>
        </w:rPr>
        <w:t>Male customers generated $157,890 in revenue (67.8%) versus $75,191 (32.2%) from female customers, driven primarily by a larger male customer base (2,652 vs. 1,248).</w:t>
      </w:r>
    </w:p>
    <w:p w14:paraId="1B7D98E7">
      <w:pPr>
        <w:pStyle w:val="16"/>
        <w:numPr>
          <w:ilvl w:val="0"/>
          <w:numId w:val="1"/>
        </w:numPr>
        <w:spacing w:after="90" w:line="290" w:lineRule="auto"/>
      </w:pPr>
      <w:r>
        <w:rPr>
          <w:color w:val="222222"/>
          <w:sz w:val="21"/>
          <w:szCs w:val="21"/>
        </w:rPr>
        <w:t>60% of the customer base (2,339 of 3,900) qualifies as "Loyal" with more than 20 previous purchases, indicating a strongly retained core audience.</w:t>
      </w:r>
    </w:p>
    <w:p w14:paraId="559A217E">
      <w:pPr>
        <w:pStyle w:val="16"/>
        <w:numPr>
          <w:ilvl w:val="0"/>
          <w:numId w:val="1"/>
        </w:numPr>
        <w:spacing w:after="90" w:line="290" w:lineRule="auto"/>
      </w:pPr>
      <w:r>
        <w:rPr>
          <w:color w:val="222222"/>
          <w:sz w:val="21"/>
          <w:szCs w:val="21"/>
        </w:rPr>
        <w:t>Discounts and promo codes are applied together 100% of the time, confirming the two fields are functionally identical in this dataset.</w:t>
      </w:r>
    </w:p>
    <w:p w14:paraId="367B4CC5">
      <w:pPr>
        <w:pStyle w:val="16"/>
        <w:numPr>
          <w:ilvl w:val="0"/>
          <w:numId w:val="1"/>
        </w:numPr>
        <w:spacing w:after="90" w:line="290" w:lineRule="auto"/>
      </w:pPr>
      <w:r>
        <w:rPr>
          <w:color w:val="222222"/>
          <w:sz w:val="21"/>
          <w:szCs w:val="21"/>
        </w:rPr>
        <w:t>Express shipping customers spend $2.02 more per order on average than Standard shipping customers ($60.48 vs. $58.46).</w:t>
      </w:r>
    </w:p>
    <w:p w14:paraId="1FEAF207">
      <w:pPr>
        <w:pStyle w:val="2"/>
        <w:spacing w:before="240" w:after="100"/>
      </w:pPr>
      <w:r>
        <w:rPr>
          <w:b/>
          <w:bCs/>
          <w:color w:val="1F3A5F"/>
          <w:sz w:val="26"/>
          <w:szCs w:val="26"/>
        </w:rPr>
        <w:t>2. Project Overview &amp; Objectives</w:t>
      </w:r>
    </w:p>
    <w:p w14:paraId="5B3AE478">
      <w:pPr>
        <w:spacing w:after="160" w:line="300" w:lineRule="auto"/>
      </w:pPr>
      <w:r>
        <w:rPr>
          <w:color w:val="222222"/>
          <w:sz w:val="21"/>
          <w:szCs w:val="21"/>
        </w:rPr>
        <w:t>The project simulates a real-world retail analytics workflow, moving raw transactional data through cleaning, structured querying, and executive-level visualization. The guiding objectives were to clean and prepare the raw dataset, engineer new features (age groups, purchase frequency, customer segments), answer ten targeted business questions using SQL, and build an interactive Power BI dashboard for stakeholders.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6"/>
        <w:gridCol w:w="2480"/>
        <w:gridCol w:w="4464"/>
      </w:tblGrid>
      <w:tr w14:paraId="5125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F3A5F"/>
            <w:tcMar>
              <w:top w:w="80" w:type="dxa"/>
              <w:left w:w="100" w:type="dxa"/>
              <w:bottom w:w="80" w:type="dxa"/>
              <w:right w:w="100" w:type="dxa"/>
            </w:tcMar>
          </w:tcPr>
          <w:p w14:paraId="416C96F9">
            <w:r>
              <w:rPr>
                <w:b/>
                <w:bCs/>
                <w:color w:val="FFFFFF"/>
                <w:sz w:val="18"/>
                <w:szCs w:val="18"/>
              </w:rPr>
              <w:t>Stage</w:t>
            </w:r>
          </w:p>
        </w:tc>
        <w:tc>
          <w:tcPr>
            <w:tcW w:w="1250" w:type="pct"/>
            <w:shd w:val="clear" w:color="auto" w:fill="1F3A5F"/>
            <w:tcMar>
              <w:top w:w="80" w:type="dxa"/>
              <w:left w:w="100" w:type="dxa"/>
              <w:bottom w:w="80" w:type="dxa"/>
              <w:right w:w="100" w:type="dxa"/>
            </w:tcMar>
          </w:tcPr>
          <w:p w14:paraId="7EB34795">
            <w:r>
              <w:rPr>
                <w:b/>
                <w:bCs/>
                <w:color w:val="FFFFFF"/>
                <w:sz w:val="18"/>
                <w:szCs w:val="18"/>
              </w:rPr>
              <w:t>Tool</w:t>
            </w:r>
          </w:p>
        </w:tc>
        <w:tc>
          <w:tcPr>
            <w:tcW w:w="2250" w:type="pct"/>
            <w:shd w:val="clear" w:color="auto" w:fill="1F3A5F"/>
            <w:tcMar>
              <w:top w:w="80" w:type="dxa"/>
              <w:left w:w="100" w:type="dxa"/>
              <w:bottom w:w="80" w:type="dxa"/>
              <w:right w:w="100" w:type="dxa"/>
            </w:tcMar>
          </w:tcPr>
          <w:p w14:paraId="465D7A52">
            <w:r>
              <w:rPr>
                <w:b/>
                <w:bCs/>
                <w:color w:val="FFFFFF"/>
                <w:sz w:val="18"/>
                <w:szCs w:val="18"/>
              </w:rPr>
              <w:t>Purpose</w:t>
            </w:r>
          </w:p>
        </w:tc>
      </w:tr>
      <w:tr w14:paraId="0BC4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FFFFF"/>
            <w:tcMar>
              <w:top w:w="70" w:type="dxa"/>
              <w:left w:w="100" w:type="dxa"/>
              <w:bottom w:w="70" w:type="dxa"/>
              <w:right w:w="100" w:type="dxa"/>
            </w:tcMar>
          </w:tcPr>
          <w:p w14:paraId="2BD42148">
            <w:r>
              <w:rPr>
                <w:color w:val="222222"/>
                <w:sz w:val="18"/>
                <w:szCs w:val="18"/>
              </w:rPr>
              <w:t>Data Cleaning &amp; Feature Engineering</w:t>
            </w:r>
          </w:p>
        </w:tc>
        <w:tc>
          <w:tcPr>
            <w:tcW w:w="1250" w:type="pct"/>
            <w:shd w:val="clear" w:color="auto" w:fill="FFFFFF"/>
            <w:tcMar>
              <w:top w:w="70" w:type="dxa"/>
              <w:left w:w="100" w:type="dxa"/>
              <w:bottom w:w="70" w:type="dxa"/>
              <w:right w:w="100" w:type="dxa"/>
            </w:tcMar>
          </w:tcPr>
          <w:p w14:paraId="73A9A489">
            <w:r>
              <w:rPr>
                <w:color w:val="222222"/>
                <w:sz w:val="18"/>
                <w:szCs w:val="18"/>
              </w:rPr>
              <w:t>Python (Pandas)</w:t>
            </w:r>
          </w:p>
        </w:tc>
        <w:tc>
          <w:tcPr>
            <w:tcW w:w="2250" w:type="pct"/>
            <w:shd w:val="clear" w:color="auto" w:fill="FFFFFF"/>
            <w:tcMar>
              <w:top w:w="70" w:type="dxa"/>
              <w:left w:w="100" w:type="dxa"/>
              <w:bottom w:w="70" w:type="dxa"/>
              <w:right w:w="100" w:type="dxa"/>
            </w:tcMar>
          </w:tcPr>
          <w:p w14:paraId="6DCD0EC0">
            <w:r>
              <w:rPr>
                <w:color w:val="222222"/>
                <w:sz w:val="18"/>
                <w:szCs w:val="18"/>
              </w:rPr>
              <w:t>Handle missing values, standardize columns, derive new features</w:t>
            </w:r>
          </w:p>
        </w:tc>
      </w:tr>
      <w:tr w14:paraId="3F1C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F2F6"/>
            <w:tcMar>
              <w:top w:w="70" w:type="dxa"/>
              <w:left w:w="100" w:type="dxa"/>
              <w:bottom w:w="70" w:type="dxa"/>
              <w:right w:w="100" w:type="dxa"/>
            </w:tcMar>
          </w:tcPr>
          <w:p w14:paraId="275885A7">
            <w:r>
              <w:rPr>
                <w:color w:val="222222"/>
                <w:sz w:val="18"/>
                <w:szCs w:val="18"/>
              </w:rPr>
              <w:t>Data Storage &amp; Querying</w:t>
            </w:r>
          </w:p>
        </w:tc>
        <w:tc>
          <w:tcPr>
            <w:tcW w:w="1250" w:type="pct"/>
            <w:shd w:val="clear" w:color="auto" w:fill="EDF2F6"/>
            <w:tcMar>
              <w:top w:w="70" w:type="dxa"/>
              <w:left w:w="100" w:type="dxa"/>
              <w:bottom w:w="70" w:type="dxa"/>
              <w:right w:w="100" w:type="dxa"/>
            </w:tcMar>
          </w:tcPr>
          <w:p w14:paraId="358F7F84">
            <w:r>
              <w:rPr>
                <w:color w:val="222222"/>
                <w:sz w:val="18"/>
                <w:szCs w:val="18"/>
              </w:rPr>
              <w:t>SQL Server (T-SQL)</w:t>
            </w:r>
          </w:p>
        </w:tc>
        <w:tc>
          <w:tcPr>
            <w:tcW w:w="2250" w:type="pct"/>
            <w:shd w:val="clear" w:color="auto" w:fill="EDF2F6"/>
            <w:tcMar>
              <w:top w:w="70" w:type="dxa"/>
              <w:left w:w="100" w:type="dxa"/>
              <w:bottom w:w="70" w:type="dxa"/>
              <w:right w:w="100" w:type="dxa"/>
            </w:tcMar>
          </w:tcPr>
          <w:p w14:paraId="0BFB95E6">
            <w:r>
              <w:rPr>
                <w:color w:val="222222"/>
                <w:sz w:val="18"/>
                <w:szCs w:val="18"/>
              </w:rPr>
              <w:t>Structured querying, aggregation, business-question analysis</w:t>
            </w:r>
          </w:p>
        </w:tc>
      </w:tr>
      <w:tr w14:paraId="2011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FFFFF"/>
            <w:tcMar>
              <w:top w:w="70" w:type="dxa"/>
              <w:left w:w="100" w:type="dxa"/>
              <w:bottom w:w="70" w:type="dxa"/>
              <w:right w:w="100" w:type="dxa"/>
            </w:tcMar>
          </w:tcPr>
          <w:p w14:paraId="3D94A452">
            <w:r>
              <w:rPr>
                <w:color w:val="222222"/>
                <w:sz w:val="18"/>
                <w:szCs w:val="18"/>
              </w:rPr>
              <w:t>Database Connectivity</w:t>
            </w:r>
          </w:p>
        </w:tc>
        <w:tc>
          <w:tcPr>
            <w:tcW w:w="1250" w:type="pct"/>
            <w:shd w:val="clear" w:color="auto" w:fill="FFFFFF"/>
            <w:tcMar>
              <w:top w:w="70" w:type="dxa"/>
              <w:left w:w="100" w:type="dxa"/>
              <w:bottom w:w="70" w:type="dxa"/>
              <w:right w:w="100" w:type="dxa"/>
            </w:tcMar>
          </w:tcPr>
          <w:p w14:paraId="3158EC40">
            <w:r>
              <w:rPr>
                <w:color w:val="222222"/>
                <w:sz w:val="18"/>
                <w:szCs w:val="18"/>
              </w:rPr>
              <w:t>SQLAlchemy / pyodbc</w:t>
            </w:r>
          </w:p>
        </w:tc>
        <w:tc>
          <w:tcPr>
            <w:tcW w:w="2250" w:type="pct"/>
            <w:shd w:val="clear" w:color="auto" w:fill="FFFFFF"/>
            <w:tcMar>
              <w:top w:w="70" w:type="dxa"/>
              <w:left w:w="100" w:type="dxa"/>
              <w:bottom w:w="70" w:type="dxa"/>
              <w:right w:w="100" w:type="dxa"/>
            </w:tcMar>
          </w:tcPr>
          <w:p w14:paraId="2B4F3AB8">
            <w:r>
              <w:rPr>
                <w:color w:val="222222"/>
                <w:sz w:val="18"/>
                <w:szCs w:val="18"/>
              </w:rPr>
              <w:t>Load cleaned Pandas DataFrame into SQL Server</w:t>
            </w:r>
          </w:p>
        </w:tc>
      </w:tr>
      <w:tr w14:paraId="0D31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F2F6"/>
            <w:tcMar>
              <w:top w:w="70" w:type="dxa"/>
              <w:left w:w="100" w:type="dxa"/>
              <w:bottom w:w="70" w:type="dxa"/>
              <w:right w:w="100" w:type="dxa"/>
            </w:tcMar>
          </w:tcPr>
          <w:p w14:paraId="23971215">
            <w:r>
              <w:rPr>
                <w:color w:val="222222"/>
                <w:sz w:val="18"/>
                <w:szCs w:val="18"/>
              </w:rPr>
              <w:t>Visualization</w:t>
            </w:r>
          </w:p>
        </w:tc>
        <w:tc>
          <w:tcPr>
            <w:tcW w:w="1250" w:type="pct"/>
            <w:shd w:val="clear" w:color="auto" w:fill="EDF2F6"/>
            <w:tcMar>
              <w:top w:w="70" w:type="dxa"/>
              <w:left w:w="100" w:type="dxa"/>
              <w:bottom w:w="70" w:type="dxa"/>
              <w:right w:w="100" w:type="dxa"/>
            </w:tcMar>
          </w:tcPr>
          <w:p w14:paraId="328B3B7E">
            <w:r>
              <w:rPr>
                <w:color w:val="222222"/>
                <w:sz w:val="18"/>
                <w:szCs w:val="18"/>
              </w:rPr>
              <w:t>Power BI</w:t>
            </w:r>
          </w:p>
        </w:tc>
        <w:tc>
          <w:tcPr>
            <w:tcW w:w="2250" w:type="pct"/>
            <w:shd w:val="clear" w:color="auto" w:fill="EDF2F6"/>
            <w:tcMar>
              <w:top w:w="70" w:type="dxa"/>
              <w:left w:w="100" w:type="dxa"/>
              <w:bottom w:w="70" w:type="dxa"/>
              <w:right w:w="100" w:type="dxa"/>
            </w:tcMar>
          </w:tcPr>
          <w:p w14:paraId="59126905">
            <w:r>
              <w:rPr>
                <w:color w:val="222222"/>
                <w:sz w:val="18"/>
                <w:szCs w:val="18"/>
              </w:rPr>
              <w:t>Interactive dashboard for churn and retention insights</w:t>
            </w:r>
          </w:p>
        </w:tc>
      </w:tr>
    </w:tbl>
    <w:p w14:paraId="0A3C791A">
      <w:pPr>
        <w:pStyle w:val="2"/>
        <w:spacing w:before="240" w:after="100"/>
      </w:pPr>
      <w:r>
        <w:rPr>
          <w:b/>
          <w:bCs/>
          <w:color w:val="1F3A5F"/>
          <w:sz w:val="26"/>
          <w:szCs w:val="26"/>
        </w:rPr>
        <w:t>3. Dataset &amp; Methodology</w:t>
      </w:r>
    </w:p>
    <w:p w14:paraId="1469B1F3">
      <w:pPr>
        <w:spacing w:after="160" w:line="300" w:lineRule="auto"/>
      </w:pPr>
      <w:r>
        <w:rPr>
          <w:color w:val="222222"/>
          <w:sz w:val="21"/>
          <w:szCs w:val="21"/>
        </w:rPr>
        <w:t>The raw dataset (customer_shopping_behavior_dataset.csv) contains 3,900 rows and 18 columns capturing customer demographics (Age, Gender), product details (Item Purchased, Category), purchase value, engagement signals (Review Rating, Subscription Status, Previous Purchases), and fulfillment attributes (Shipping Type, Discount Applied, Payment Method, Frequency of Purchases).</w:t>
      </w:r>
    </w:p>
    <w:p w14:paraId="00839BFA">
      <w:pPr>
        <w:spacing w:before="40" w:after="40"/>
      </w:pPr>
      <w:r>
        <w:rPr>
          <w:b/>
          <w:bCs/>
          <w:color w:val="1F3A5F"/>
          <w:sz w:val="20"/>
          <w:szCs w:val="20"/>
        </w:rPr>
        <w:t>Key processing steps (Python):</w:t>
      </w:r>
    </w:p>
    <w:p w14:paraId="20216AB2">
      <w:pPr>
        <w:pStyle w:val="16"/>
        <w:numPr>
          <w:ilvl w:val="0"/>
          <w:numId w:val="1"/>
        </w:numPr>
        <w:spacing w:after="90" w:line="290" w:lineRule="auto"/>
      </w:pPr>
      <w:r>
        <w:rPr>
          <w:color w:val="222222"/>
          <w:sz w:val="21"/>
          <w:szCs w:val="21"/>
        </w:rPr>
        <w:t>Missing values: 37 missing Review Rating entries imputed using the median rating within each product category.</w:t>
      </w:r>
    </w:p>
    <w:p w14:paraId="0F0ED076">
      <w:pPr>
        <w:pStyle w:val="16"/>
        <w:numPr>
          <w:ilvl w:val="0"/>
          <w:numId w:val="1"/>
        </w:numPr>
        <w:spacing w:after="90" w:line="290" w:lineRule="auto"/>
      </w:pPr>
      <w:r>
        <w:rPr>
          <w:color w:val="222222"/>
          <w:sz w:val="21"/>
          <w:szCs w:val="21"/>
        </w:rPr>
        <w:t>Standardization: column headers lower-cased and cleaned for SQL compatibility.</w:t>
      </w:r>
    </w:p>
    <w:p w14:paraId="50C2D433">
      <w:pPr>
        <w:pStyle w:val="16"/>
        <w:numPr>
          <w:ilvl w:val="0"/>
          <w:numId w:val="1"/>
        </w:numPr>
        <w:spacing w:after="90" w:line="290" w:lineRule="auto"/>
      </w:pPr>
      <w:r>
        <w:rPr>
          <w:color w:val="222222"/>
          <w:sz w:val="21"/>
          <w:szCs w:val="21"/>
        </w:rPr>
        <w:t>Redundancy removal: Discount Applied and Promo Code Used were identical across all rows, so the duplicate field was dropped.</w:t>
      </w:r>
    </w:p>
    <w:p w14:paraId="08686E92">
      <w:pPr>
        <w:pStyle w:val="16"/>
        <w:numPr>
          <w:ilvl w:val="0"/>
          <w:numId w:val="1"/>
        </w:numPr>
        <w:spacing w:after="90" w:line="290" w:lineRule="auto"/>
      </w:pPr>
      <w:r>
        <w:rPr>
          <w:color w:val="222222"/>
          <w:sz w:val="21"/>
          <w:szCs w:val="21"/>
        </w:rPr>
        <w:t>Feature engineering: age_group (four quantile bins) and purchase_frequency_days (numeric mapping of purchase cadence) were derived for deeper analysis.</w:t>
      </w:r>
    </w:p>
    <w:p w14:paraId="7DB97B4E">
      <w:pPr>
        <w:spacing w:after="160" w:line="300" w:lineRule="auto"/>
      </w:pPr>
      <w:r>
        <w:rPr>
          <w:color w:val="222222"/>
          <w:sz w:val="21"/>
          <w:szCs w:val="21"/>
        </w:rPr>
        <w:t>The cleaned data was loaded into SQL Server via SQLAlchemy, where ten T-SQL queries answered targeted business questions on revenue, discounting, product performance, shipping, and segmentation — summarized in Section 4. Query outputs then fed a Power BI dashboard for interactive, executive-level exploration (Section 5).</w:t>
      </w:r>
    </w:p>
    <w:p w14:paraId="6ED5EAFE">
      <w:pPr>
        <w:pStyle w:val="2"/>
        <w:spacing w:before="240" w:after="100"/>
      </w:pPr>
      <w:r>
        <w:rPr>
          <w:b/>
          <w:bCs/>
          <w:color w:val="1F3A5F"/>
          <w:sz w:val="26"/>
          <w:szCs w:val="26"/>
        </w:rPr>
        <w:t>4. Key Findings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0"/>
        <w:gridCol w:w="4870"/>
      </w:tblGrid>
      <w:tr w14:paraId="2FAE7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500" w:type="pct"/>
            <w:tcMar>
              <w:right w:w="100" w:type="dxa"/>
            </w:tcMar>
          </w:tcPr>
          <w:p w14:paraId="20B66AF1">
            <w:pPr>
              <w:jc w:val="center"/>
            </w:pPr>
            <w:r>
              <w:drawing>
                <wp:inline distT="0" distB="0" distL="0" distR="0">
                  <wp:extent cx="2238375"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238375" cy="1485900"/>
                          </a:xfrm>
                          <a:prstGeom prst="rect">
                            <a:avLst/>
                          </a:prstGeom>
                        </pic:spPr>
                      </pic:pic>
                    </a:graphicData>
                  </a:graphic>
                </wp:inline>
              </w:drawing>
            </w:r>
          </w:p>
          <w:p w14:paraId="179335A0">
            <w:pPr>
              <w:spacing w:after="100"/>
              <w:jc w:val="center"/>
            </w:pPr>
            <w:r>
              <w:rPr>
                <w:i/>
                <w:iCs/>
                <w:color w:val="5B6670"/>
                <w:sz w:val="15"/>
                <w:szCs w:val="15"/>
              </w:rPr>
              <w:t>Fig 1. Revenue by gender.</w:t>
            </w:r>
          </w:p>
        </w:tc>
        <w:tc>
          <w:tcPr>
            <w:tcW w:w="2500" w:type="pct"/>
            <w:tcMar>
              <w:left w:w="100" w:type="dxa"/>
            </w:tcMar>
          </w:tcPr>
          <w:p w14:paraId="2806A1B8">
            <w:pPr>
              <w:jc w:val="center"/>
            </w:pPr>
            <w:r>
              <w:drawing>
                <wp:inline distT="0" distB="0" distL="0" distR="0">
                  <wp:extent cx="2238375"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2238375" cy="1485900"/>
                          </a:xfrm>
                          <a:prstGeom prst="rect">
                            <a:avLst/>
                          </a:prstGeom>
                        </pic:spPr>
                      </pic:pic>
                    </a:graphicData>
                  </a:graphic>
                </wp:inline>
              </w:drawing>
            </w:r>
          </w:p>
          <w:p w14:paraId="1A659FBA">
            <w:pPr>
              <w:spacing w:after="100"/>
              <w:jc w:val="center"/>
            </w:pPr>
            <w:r>
              <w:rPr>
                <w:i/>
                <w:iCs/>
                <w:color w:val="5B6670"/>
                <w:sz w:val="15"/>
                <w:szCs w:val="15"/>
              </w:rPr>
              <w:t>Fig 2. Top 5 products by rating.</w:t>
            </w:r>
          </w:p>
        </w:tc>
      </w:tr>
    </w:tbl>
    <w:p w14:paraId="28E88690">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0"/>
        <w:gridCol w:w="4870"/>
      </w:tblGrid>
      <w:tr w14:paraId="47640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500" w:type="pct"/>
            <w:tcMar>
              <w:right w:w="100" w:type="dxa"/>
            </w:tcMar>
          </w:tcPr>
          <w:p w14:paraId="26A7BC7D">
            <w:pPr>
              <w:jc w:val="center"/>
            </w:pPr>
            <w:r>
              <w:drawing>
                <wp:inline distT="0" distB="0" distL="0" distR="0">
                  <wp:extent cx="2238375" cy="148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238375" cy="1485900"/>
                          </a:xfrm>
                          <a:prstGeom prst="rect">
                            <a:avLst/>
                          </a:prstGeom>
                        </pic:spPr>
                      </pic:pic>
                    </a:graphicData>
                  </a:graphic>
                </wp:inline>
              </w:drawing>
            </w:r>
          </w:p>
          <w:p w14:paraId="332698DF">
            <w:pPr>
              <w:spacing w:after="100"/>
              <w:jc w:val="center"/>
            </w:pPr>
            <w:r>
              <w:rPr>
                <w:i/>
                <w:iCs/>
                <w:color w:val="5B6670"/>
                <w:sz w:val="15"/>
                <w:szCs w:val="15"/>
              </w:rPr>
              <w:t>Fig 3. Standard vs. Express shipping spend.</w:t>
            </w:r>
          </w:p>
        </w:tc>
        <w:tc>
          <w:tcPr>
            <w:tcW w:w="2500" w:type="pct"/>
            <w:tcMar>
              <w:left w:w="100" w:type="dxa"/>
            </w:tcMar>
          </w:tcPr>
          <w:p w14:paraId="4406F7F7">
            <w:pPr>
              <w:jc w:val="center"/>
            </w:pPr>
            <w:r>
              <w:drawing>
                <wp:inline distT="0" distB="0" distL="0" distR="0">
                  <wp:extent cx="2238375" cy="148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2238375" cy="1485900"/>
                          </a:xfrm>
                          <a:prstGeom prst="rect">
                            <a:avLst/>
                          </a:prstGeom>
                        </pic:spPr>
                      </pic:pic>
                    </a:graphicData>
                  </a:graphic>
                </wp:inline>
              </w:drawing>
            </w:r>
          </w:p>
          <w:p w14:paraId="23E1ED11">
            <w:pPr>
              <w:spacing w:after="100"/>
              <w:jc w:val="center"/>
            </w:pPr>
            <w:r>
              <w:rPr>
                <w:i/>
                <w:iCs/>
                <w:color w:val="5B6670"/>
                <w:sz w:val="15"/>
                <w:szCs w:val="15"/>
              </w:rPr>
              <w:t>Fig 4. Customers by segment: New, Returning, Loyal.</w:t>
            </w:r>
          </w:p>
        </w:tc>
      </w:tr>
    </w:tbl>
    <w:p w14:paraId="6CF3D36F">
      <w:pPr>
        <w:spacing w:after="100"/>
      </w:pPr>
    </w:p>
    <w:p w14:paraId="1CE8DE15">
      <w:pPr>
        <w:pStyle w:val="16"/>
        <w:numPr>
          <w:ilvl w:val="0"/>
          <w:numId w:val="1"/>
        </w:numPr>
        <w:spacing w:after="90" w:line="290" w:lineRule="auto"/>
      </w:pPr>
      <w:r>
        <w:rPr>
          <w:color w:val="222222"/>
          <w:sz w:val="21"/>
          <w:szCs w:val="21"/>
        </w:rPr>
        <w:t>High-value discount shoppers: 839 customers used a discount while still spending above the dataset average of $59.76 — discounting doesn't necessarily cap order value.</w:t>
      </w:r>
    </w:p>
    <w:p w14:paraId="2A222005">
      <w:pPr>
        <w:pStyle w:val="16"/>
        <w:numPr>
          <w:ilvl w:val="0"/>
          <w:numId w:val="1"/>
        </w:numPr>
        <w:spacing w:after="90" w:line="290" w:lineRule="auto"/>
      </w:pPr>
      <w:r>
        <w:rPr>
          <w:color w:val="222222"/>
          <w:sz w:val="21"/>
          <w:szCs w:val="21"/>
        </w:rPr>
        <w:t>Subscription impact: subscribers spend $59.49 on average vs. $59.87 for non-subscribers — subscription status has no material effect on order value; non-subscribers drive more total revenue simply due to their larger share (73%).</w:t>
      </w:r>
    </w:p>
    <w:p w14:paraId="6069D944">
      <w:pPr>
        <w:pStyle w:val="16"/>
        <w:numPr>
          <w:ilvl w:val="0"/>
          <w:numId w:val="1"/>
        </w:numPr>
        <w:spacing w:after="90" w:line="290" w:lineRule="auto"/>
      </w:pPr>
      <w:r>
        <w:rPr>
          <w:color w:val="222222"/>
          <w:sz w:val="21"/>
          <w:szCs w:val="21"/>
        </w:rPr>
        <w:t>Repeat buyers vs. subscription: only 27.6% of repeat buyers (958 of 3,476) hold a subscription, nearly identical to the 22.4% rate among new/low-activity buyers — purchase history alone doesn't predict subscription uptake.</w:t>
      </w:r>
    </w:p>
    <w:p w14:paraId="2A7CC443">
      <w:pPr>
        <w:pStyle w:val="16"/>
        <w:numPr>
          <w:ilvl w:val="0"/>
          <w:numId w:val="1"/>
        </w:numPr>
        <w:spacing w:after="90" w:line="290" w:lineRule="auto"/>
      </w:pPr>
      <w:r>
        <w:rPr>
          <w:color w:val="222222"/>
          <w:sz w:val="21"/>
          <w:szCs w:val="21"/>
        </w:rPr>
        <w:t>Revenue by age group is evenly spread, ranging narrowly from 23.9% (Senior) to 26.7% (Young Adult) — the customer base is not concentrated in any one age bracket.</w:t>
      </w:r>
    </w:p>
    <w:p w14:paraId="56320CCC">
      <w:pPr>
        <w:spacing w:before="100" w:after="40"/>
      </w:pPr>
      <w:r>
        <w:rPr>
          <w:b/>
          <w:bCs/>
          <w:color w:val="1F3A5F"/>
          <w:sz w:val="20"/>
          <w:szCs w:val="20"/>
        </w:rPr>
        <w:t>Top 3 Products per Category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4464"/>
        <w:gridCol w:w="2976"/>
      </w:tblGrid>
      <w:tr w14:paraId="304A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shd w:val="clear" w:color="auto" w:fill="1F3A5F"/>
            <w:tcMar>
              <w:top w:w="80" w:type="dxa"/>
              <w:left w:w="100" w:type="dxa"/>
              <w:bottom w:w="80" w:type="dxa"/>
              <w:right w:w="100" w:type="dxa"/>
            </w:tcMar>
          </w:tcPr>
          <w:p w14:paraId="504733D5">
            <w:r>
              <w:rPr>
                <w:b/>
                <w:bCs/>
                <w:color w:val="FFFFFF"/>
                <w:sz w:val="18"/>
                <w:szCs w:val="18"/>
              </w:rPr>
              <w:t>Category</w:t>
            </w:r>
          </w:p>
        </w:tc>
        <w:tc>
          <w:tcPr>
            <w:tcW w:w="2250" w:type="pct"/>
            <w:shd w:val="clear" w:color="auto" w:fill="1F3A5F"/>
            <w:tcMar>
              <w:top w:w="80" w:type="dxa"/>
              <w:left w:w="100" w:type="dxa"/>
              <w:bottom w:w="80" w:type="dxa"/>
              <w:right w:w="100" w:type="dxa"/>
            </w:tcMar>
          </w:tcPr>
          <w:p w14:paraId="30F65106">
            <w:r>
              <w:rPr>
                <w:b/>
                <w:bCs/>
                <w:color w:val="FFFFFF"/>
                <w:sz w:val="18"/>
                <w:szCs w:val="18"/>
              </w:rPr>
              <w:t>Top Products</w:t>
            </w:r>
          </w:p>
        </w:tc>
        <w:tc>
          <w:tcPr>
            <w:tcW w:w="1500" w:type="pct"/>
            <w:shd w:val="clear" w:color="auto" w:fill="1F3A5F"/>
            <w:tcMar>
              <w:top w:w="80" w:type="dxa"/>
              <w:left w:w="100" w:type="dxa"/>
              <w:bottom w:w="80" w:type="dxa"/>
              <w:right w:w="100" w:type="dxa"/>
            </w:tcMar>
          </w:tcPr>
          <w:p w14:paraId="55E95E6A">
            <w:r>
              <w:rPr>
                <w:b/>
                <w:bCs/>
                <w:color w:val="FFFFFF"/>
                <w:sz w:val="18"/>
                <w:szCs w:val="18"/>
              </w:rPr>
              <w:t>Purchases</w:t>
            </w:r>
          </w:p>
        </w:tc>
      </w:tr>
      <w:tr w14:paraId="46B0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FFFFFF"/>
            <w:tcMar>
              <w:top w:w="70" w:type="dxa"/>
              <w:left w:w="100" w:type="dxa"/>
              <w:bottom w:w="70" w:type="dxa"/>
              <w:right w:w="100" w:type="dxa"/>
            </w:tcMar>
          </w:tcPr>
          <w:p w14:paraId="7CAECBC0">
            <w:r>
              <w:rPr>
                <w:color w:val="222222"/>
                <w:sz w:val="18"/>
                <w:szCs w:val="18"/>
              </w:rPr>
              <w:t>Accessories</w:t>
            </w:r>
          </w:p>
        </w:tc>
        <w:tc>
          <w:tcPr>
            <w:tcW w:w="2250" w:type="pct"/>
            <w:shd w:val="clear" w:color="auto" w:fill="FFFFFF"/>
            <w:tcMar>
              <w:top w:w="70" w:type="dxa"/>
              <w:left w:w="100" w:type="dxa"/>
              <w:bottom w:w="70" w:type="dxa"/>
              <w:right w:w="100" w:type="dxa"/>
            </w:tcMar>
          </w:tcPr>
          <w:p w14:paraId="614465FA">
            <w:r>
              <w:rPr>
                <w:color w:val="222222"/>
                <w:sz w:val="18"/>
                <w:szCs w:val="18"/>
              </w:rPr>
              <w:t>Jewelry</w:t>
            </w:r>
          </w:p>
        </w:tc>
        <w:tc>
          <w:tcPr>
            <w:tcW w:w="1500" w:type="pct"/>
            <w:shd w:val="clear" w:color="auto" w:fill="FFFFFF"/>
            <w:tcMar>
              <w:top w:w="70" w:type="dxa"/>
              <w:left w:w="100" w:type="dxa"/>
              <w:bottom w:w="70" w:type="dxa"/>
              <w:right w:w="100" w:type="dxa"/>
            </w:tcMar>
          </w:tcPr>
          <w:p w14:paraId="7876EB09">
            <w:r>
              <w:rPr>
                <w:color w:val="222222"/>
                <w:sz w:val="18"/>
                <w:szCs w:val="18"/>
              </w:rPr>
              <w:t>171</w:t>
            </w:r>
          </w:p>
        </w:tc>
      </w:tr>
      <w:tr w14:paraId="0DD1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EDF2F6"/>
            <w:tcMar>
              <w:top w:w="70" w:type="dxa"/>
              <w:left w:w="100" w:type="dxa"/>
              <w:bottom w:w="70" w:type="dxa"/>
              <w:right w:w="100" w:type="dxa"/>
            </w:tcMar>
          </w:tcPr>
          <w:p w14:paraId="52DB352A">
            <w:r>
              <w:rPr>
                <w:color w:val="222222"/>
                <w:sz w:val="18"/>
                <w:szCs w:val="18"/>
              </w:rPr>
              <w:t>Accessories</w:t>
            </w:r>
          </w:p>
        </w:tc>
        <w:tc>
          <w:tcPr>
            <w:tcW w:w="2250" w:type="pct"/>
            <w:shd w:val="clear" w:color="auto" w:fill="EDF2F6"/>
            <w:tcMar>
              <w:top w:w="70" w:type="dxa"/>
              <w:left w:w="100" w:type="dxa"/>
              <w:bottom w:w="70" w:type="dxa"/>
              <w:right w:w="100" w:type="dxa"/>
            </w:tcMar>
          </w:tcPr>
          <w:p w14:paraId="08163B79">
            <w:r>
              <w:rPr>
                <w:color w:val="222222"/>
                <w:sz w:val="18"/>
                <w:szCs w:val="18"/>
              </w:rPr>
              <w:t>Sunglasses / Belt (tied)</w:t>
            </w:r>
          </w:p>
        </w:tc>
        <w:tc>
          <w:tcPr>
            <w:tcW w:w="1500" w:type="pct"/>
            <w:shd w:val="clear" w:color="auto" w:fill="EDF2F6"/>
            <w:tcMar>
              <w:top w:w="70" w:type="dxa"/>
              <w:left w:w="100" w:type="dxa"/>
              <w:bottom w:w="70" w:type="dxa"/>
              <w:right w:w="100" w:type="dxa"/>
            </w:tcMar>
          </w:tcPr>
          <w:p w14:paraId="61FDD95D">
            <w:r>
              <w:rPr>
                <w:color w:val="222222"/>
                <w:sz w:val="18"/>
                <w:szCs w:val="18"/>
              </w:rPr>
              <w:t>161</w:t>
            </w:r>
          </w:p>
        </w:tc>
      </w:tr>
      <w:tr w14:paraId="3890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FFFFFF"/>
            <w:tcMar>
              <w:top w:w="70" w:type="dxa"/>
              <w:left w:w="100" w:type="dxa"/>
              <w:bottom w:w="70" w:type="dxa"/>
              <w:right w:w="100" w:type="dxa"/>
            </w:tcMar>
          </w:tcPr>
          <w:p w14:paraId="32FEEBE5">
            <w:r>
              <w:rPr>
                <w:color w:val="222222"/>
                <w:sz w:val="18"/>
                <w:szCs w:val="18"/>
              </w:rPr>
              <w:t>Clothing</w:t>
            </w:r>
          </w:p>
        </w:tc>
        <w:tc>
          <w:tcPr>
            <w:tcW w:w="2250" w:type="pct"/>
            <w:shd w:val="clear" w:color="auto" w:fill="FFFFFF"/>
            <w:tcMar>
              <w:top w:w="70" w:type="dxa"/>
              <w:left w:w="100" w:type="dxa"/>
              <w:bottom w:w="70" w:type="dxa"/>
              <w:right w:w="100" w:type="dxa"/>
            </w:tcMar>
          </w:tcPr>
          <w:p w14:paraId="16E147E4">
            <w:r>
              <w:rPr>
                <w:color w:val="222222"/>
                <w:sz w:val="18"/>
                <w:szCs w:val="18"/>
              </w:rPr>
              <w:t>Blouse / Pants (tied)</w:t>
            </w:r>
          </w:p>
        </w:tc>
        <w:tc>
          <w:tcPr>
            <w:tcW w:w="1500" w:type="pct"/>
            <w:shd w:val="clear" w:color="auto" w:fill="FFFFFF"/>
            <w:tcMar>
              <w:top w:w="70" w:type="dxa"/>
              <w:left w:w="100" w:type="dxa"/>
              <w:bottom w:w="70" w:type="dxa"/>
              <w:right w:w="100" w:type="dxa"/>
            </w:tcMar>
          </w:tcPr>
          <w:p w14:paraId="7CED2B52">
            <w:r>
              <w:rPr>
                <w:color w:val="222222"/>
                <w:sz w:val="18"/>
                <w:szCs w:val="18"/>
              </w:rPr>
              <w:t>171</w:t>
            </w:r>
          </w:p>
        </w:tc>
      </w:tr>
      <w:tr w14:paraId="6478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EDF2F6"/>
            <w:tcMar>
              <w:top w:w="70" w:type="dxa"/>
              <w:left w:w="100" w:type="dxa"/>
              <w:bottom w:w="70" w:type="dxa"/>
              <w:right w:w="100" w:type="dxa"/>
            </w:tcMar>
          </w:tcPr>
          <w:p w14:paraId="37F6445A">
            <w:r>
              <w:rPr>
                <w:color w:val="222222"/>
                <w:sz w:val="18"/>
                <w:szCs w:val="18"/>
              </w:rPr>
              <w:t>Clothing</w:t>
            </w:r>
          </w:p>
        </w:tc>
        <w:tc>
          <w:tcPr>
            <w:tcW w:w="2250" w:type="pct"/>
            <w:shd w:val="clear" w:color="auto" w:fill="EDF2F6"/>
            <w:tcMar>
              <w:top w:w="70" w:type="dxa"/>
              <w:left w:w="100" w:type="dxa"/>
              <w:bottom w:w="70" w:type="dxa"/>
              <w:right w:w="100" w:type="dxa"/>
            </w:tcMar>
          </w:tcPr>
          <w:p w14:paraId="677EFD06">
            <w:r>
              <w:rPr>
                <w:color w:val="222222"/>
                <w:sz w:val="18"/>
                <w:szCs w:val="18"/>
              </w:rPr>
              <w:t>Shirt</w:t>
            </w:r>
          </w:p>
        </w:tc>
        <w:tc>
          <w:tcPr>
            <w:tcW w:w="1500" w:type="pct"/>
            <w:shd w:val="clear" w:color="auto" w:fill="EDF2F6"/>
            <w:tcMar>
              <w:top w:w="70" w:type="dxa"/>
              <w:left w:w="100" w:type="dxa"/>
              <w:bottom w:w="70" w:type="dxa"/>
              <w:right w:w="100" w:type="dxa"/>
            </w:tcMar>
          </w:tcPr>
          <w:p w14:paraId="24D75508">
            <w:r>
              <w:rPr>
                <w:color w:val="222222"/>
                <w:sz w:val="18"/>
                <w:szCs w:val="18"/>
              </w:rPr>
              <w:t>169</w:t>
            </w:r>
          </w:p>
        </w:tc>
      </w:tr>
      <w:tr w14:paraId="32A9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FFFFFF"/>
            <w:tcMar>
              <w:top w:w="70" w:type="dxa"/>
              <w:left w:w="100" w:type="dxa"/>
              <w:bottom w:w="70" w:type="dxa"/>
              <w:right w:w="100" w:type="dxa"/>
            </w:tcMar>
          </w:tcPr>
          <w:p w14:paraId="0E9AB4A2">
            <w:r>
              <w:rPr>
                <w:color w:val="222222"/>
                <w:sz w:val="18"/>
                <w:szCs w:val="18"/>
              </w:rPr>
              <w:t>Footwear</w:t>
            </w:r>
          </w:p>
        </w:tc>
        <w:tc>
          <w:tcPr>
            <w:tcW w:w="2250" w:type="pct"/>
            <w:shd w:val="clear" w:color="auto" w:fill="FFFFFF"/>
            <w:tcMar>
              <w:top w:w="70" w:type="dxa"/>
              <w:left w:w="100" w:type="dxa"/>
              <w:bottom w:w="70" w:type="dxa"/>
              <w:right w:w="100" w:type="dxa"/>
            </w:tcMar>
          </w:tcPr>
          <w:p w14:paraId="49DF78BF">
            <w:r>
              <w:rPr>
                <w:color w:val="222222"/>
                <w:sz w:val="18"/>
                <w:szCs w:val="18"/>
              </w:rPr>
              <w:t>Sandals</w:t>
            </w:r>
          </w:p>
        </w:tc>
        <w:tc>
          <w:tcPr>
            <w:tcW w:w="1500" w:type="pct"/>
            <w:shd w:val="clear" w:color="auto" w:fill="FFFFFF"/>
            <w:tcMar>
              <w:top w:w="70" w:type="dxa"/>
              <w:left w:w="100" w:type="dxa"/>
              <w:bottom w:w="70" w:type="dxa"/>
              <w:right w:w="100" w:type="dxa"/>
            </w:tcMar>
          </w:tcPr>
          <w:p w14:paraId="59C32ED9">
            <w:r>
              <w:rPr>
                <w:color w:val="222222"/>
                <w:sz w:val="18"/>
                <w:szCs w:val="18"/>
              </w:rPr>
              <w:t>160</w:t>
            </w:r>
          </w:p>
        </w:tc>
      </w:tr>
      <w:tr w14:paraId="7F07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EDF2F6"/>
            <w:tcMar>
              <w:top w:w="70" w:type="dxa"/>
              <w:left w:w="100" w:type="dxa"/>
              <w:bottom w:w="70" w:type="dxa"/>
              <w:right w:w="100" w:type="dxa"/>
            </w:tcMar>
          </w:tcPr>
          <w:p w14:paraId="20D08035">
            <w:r>
              <w:rPr>
                <w:color w:val="222222"/>
                <w:sz w:val="18"/>
                <w:szCs w:val="18"/>
              </w:rPr>
              <w:t>Footwear</w:t>
            </w:r>
          </w:p>
        </w:tc>
        <w:tc>
          <w:tcPr>
            <w:tcW w:w="2250" w:type="pct"/>
            <w:shd w:val="clear" w:color="auto" w:fill="EDF2F6"/>
            <w:tcMar>
              <w:top w:w="70" w:type="dxa"/>
              <w:left w:w="100" w:type="dxa"/>
              <w:bottom w:w="70" w:type="dxa"/>
              <w:right w:w="100" w:type="dxa"/>
            </w:tcMar>
          </w:tcPr>
          <w:p w14:paraId="66A859F0">
            <w:r>
              <w:rPr>
                <w:color w:val="222222"/>
                <w:sz w:val="18"/>
                <w:szCs w:val="18"/>
              </w:rPr>
              <w:t>Shoes</w:t>
            </w:r>
          </w:p>
        </w:tc>
        <w:tc>
          <w:tcPr>
            <w:tcW w:w="1500" w:type="pct"/>
            <w:shd w:val="clear" w:color="auto" w:fill="EDF2F6"/>
            <w:tcMar>
              <w:top w:w="70" w:type="dxa"/>
              <w:left w:w="100" w:type="dxa"/>
              <w:bottom w:w="70" w:type="dxa"/>
              <w:right w:w="100" w:type="dxa"/>
            </w:tcMar>
          </w:tcPr>
          <w:p w14:paraId="43FA7C55">
            <w:r>
              <w:rPr>
                <w:color w:val="222222"/>
                <w:sz w:val="18"/>
                <w:szCs w:val="18"/>
              </w:rPr>
              <w:t>150</w:t>
            </w:r>
          </w:p>
        </w:tc>
      </w:tr>
      <w:tr w14:paraId="4BA5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FFFFFF"/>
            <w:tcMar>
              <w:top w:w="70" w:type="dxa"/>
              <w:left w:w="100" w:type="dxa"/>
              <w:bottom w:w="70" w:type="dxa"/>
              <w:right w:w="100" w:type="dxa"/>
            </w:tcMar>
          </w:tcPr>
          <w:p w14:paraId="2AB790FD">
            <w:r>
              <w:rPr>
                <w:color w:val="222222"/>
                <w:sz w:val="18"/>
                <w:szCs w:val="18"/>
              </w:rPr>
              <w:t>Outerwear</w:t>
            </w:r>
          </w:p>
        </w:tc>
        <w:tc>
          <w:tcPr>
            <w:tcW w:w="2250" w:type="pct"/>
            <w:shd w:val="clear" w:color="auto" w:fill="FFFFFF"/>
            <w:tcMar>
              <w:top w:w="70" w:type="dxa"/>
              <w:left w:w="100" w:type="dxa"/>
              <w:bottom w:w="70" w:type="dxa"/>
              <w:right w:w="100" w:type="dxa"/>
            </w:tcMar>
          </w:tcPr>
          <w:p w14:paraId="3DAE3F70">
            <w:r>
              <w:rPr>
                <w:color w:val="222222"/>
                <w:sz w:val="18"/>
                <w:szCs w:val="18"/>
              </w:rPr>
              <w:t>Jacket</w:t>
            </w:r>
          </w:p>
        </w:tc>
        <w:tc>
          <w:tcPr>
            <w:tcW w:w="1500" w:type="pct"/>
            <w:shd w:val="clear" w:color="auto" w:fill="FFFFFF"/>
            <w:tcMar>
              <w:top w:w="70" w:type="dxa"/>
              <w:left w:w="100" w:type="dxa"/>
              <w:bottom w:w="70" w:type="dxa"/>
              <w:right w:w="100" w:type="dxa"/>
            </w:tcMar>
          </w:tcPr>
          <w:p w14:paraId="2A5D0AFB">
            <w:r>
              <w:rPr>
                <w:color w:val="222222"/>
                <w:sz w:val="18"/>
                <w:szCs w:val="18"/>
              </w:rPr>
              <w:t>163</w:t>
            </w:r>
          </w:p>
        </w:tc>
      </w:tr>
      <w:tr w14:paraId="4E69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clear" w:color="auto" w:fill="EDF2F6"/>
            <w:tcMar>
              <w:top w:w="70" w:type="dxa"/>
              <w:left w:w="100" w:type="dxa"/>
              <w:bottom w:w="70" w:type="dxa"/>
              <w:right w:w="100" w:type="dxa"/>
            </w:tcMar>
          </w:tcPr>
          <w:p w14:paraId="65D7EFC1">
            <w:r>
              <w:rPr>
                <w:color w:val="222222"/>
                <w:sz w:val="18"/>
                <w:szCs w:val="18"/>
              </w:rPr>
              <w:t>Outerwear</w:t>
            </w:r>
          </w:p>
        </w:tc>
        <w:tc>
          <w:tcPr>
            <w:tcW w:w="2250" w:type="pct"/>
            <w:shd w:val="clear" w:color="auto" w:fill="EDF2F6"/>
            <w:tcMar>
              <w:top w:w="70" w:type="dxa"/>
              <w:left w:w="100" w:type="dxa"/>
              <w:bottom w:w="70" w:type="dxa"/>
              <w:right w:w="100" w:type="dxa"/>
            </w:tcMar>
          </w:tcPr>
          <w:p w14:paraId="31143E7C">
            <w:r>
              <w:rPr>
                <w:color w:val="222222"/>
                <w:sz w:val="18"/>
                <w:szCs w:val="18"/>
              </w:rPr>
              <w:t>Coat</w:t>
            </w:r>
          </w:p>
        </w:tc>
        <w:tc>
          <w:tcPr>
            <w:tcW w:w="1500" w:type="pct"/>
            <w:shd w:val="clear" w:color="auto" w:fill="EDF2F6"/>
            <w:tcMar>
              <w:top w:w="70" w:type="dxa"/>
              <w:left w:w="100" w:type="dxa"/>
              <w:bottom w:w="70" w:type="dxa"/>
              <w:right w:w="100" w:type="dxa"/>
            </w:tcMar>
          </w:tcPr>
          <w:p w14:paraId="28E2A5CA">
            <w:r>
              <w:rPr>
                <w:color w:val="222222"/>
                <w:sz w:val="18"/>
                <w:szCs w:val="18"/>
              </w:rPr>
              <w:t>161</w:t>
            </w:r>
          </w:p>
        </w:tc>
      </w:tr>
    </w:tbl>
    <w:p w14:paraId="21F3AA8C">
      <w:pPr>
        <w:pStyle w:val="2"/>
        <w:spacing w:before="240" w:after="100"/>
      </w:pPr>
      <w:r>
        <w:rPr>
          <w:b/>
          <w:bCs/>
          <w:color w:val="1F3A5F"/>
          <w:sz w:val="26"/>
          <w:szCs w:val="26"/>
        </w:rPr>
        <w:t>5. Power BI Dashboard</w:t>
      </w:r>
    </w:p>
    <w:p w14:paraId="2DCF411C">
      <w:pPr>
        <w:spacing w:after="160" w:line="300" w:lineRule="auto"/>
      </w:pPr>
      <w:r>
        <w:rPr>
          <w:color w:val="222222"/>
          <w:sz w:val="21"/>
          <w:szCs w:val="21"/>
        </w:rPr>
        <w:t>SQL query outputs were consolidated into an interactive "Customer Churn Analysis" dashboard, giving stakeholders self-service access to retention and spending patterns via slicers for Subscription Status, Gender, Category, and Shipping Type.</w:t>
      </w:r>
    </w:p>
    <w:p w14:paraId="58132334">
      <w:pPr>
        <w:spacing w:before="80" w:after="40"/>
        <w:jc w:val="center"/>
      </w:pPr>
      <w:r>
        <w:drawing>
          <wp:inline distT="0" distB="0" distL="0" distR="0">
            <wp:extent cx="4191000" cy="237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191000" cy="2371725"/>
                    </a:xfrm>
                    <a:prstGeom prst="rect">
                      <a:avLst/>
                    </a:prstGeom>
                  </pic:spPr>
                </pic:pic>
              </a:graphicData>
            </a:graphic>
          </wp:inline>
        </w:drawing>
      </w:r>
    </w:p>
    <w:p w14:paraId="5AE05B85">
      <w:pPr>
        <w:spacing w:after="140"/>
        <w:jc w:val="center"/>
      </w:pPr>
      <w:r>
        <w:rPr>
          <w:i/>
          <w:iCs/>
          <w:color w:val="5B6670"/>
          <w:sz w:val="16"/>
          <w:szCs w:val="16"/>
        </w:rPr>
        <w:t>Figure 5. Customer Churn Analysis dashboard — built in Power BI from the SQL query outputs.</w:t>
      </w:r>
    </w:p>
    <w:p w14:paraId="49851AA4">
      <w:pPr>
        <w:pStyle w:val="16"/>
        <w:numPr>
          <w:ilvl w:val="0"/>
          <w:numId w:val="1"/>
        </w:numPr>
        <w:spacing w:after="90" w:line="290" w:lineRule="auto"/>
      </w:pPr>
      <w:r>
        <w:rPr>
          <w:color w:val="222222"/>
          <w:sz w:val="21"/>
          <w:szCs w:val="21"/>
        </w:rPr>
        <w:t>KPI Cards — Number of Customers (4K), Average Purchase Amount ($59.76), Average Review Rating (3.75).</w:t>
      </w:r>
    </w:p>
    <w:p w14:paraId="764887A7">
      <w:pPr>
        <w:pStyle w:val="16"/>
        <w:numPr>
          <w:ilvl w:val="0"/>
          <w:numId w:val="1"/>
        </w:numPr>
        <w:spacing w:after="90" w:line="290" w:lineRule="auto"/>
      </w:pPr>
      <w:r>
        <w:rPr>
          <w:color w:val="222222"/>
          <w:sz w:val="21"/>
          <w:szCs w:val="21"/>
        </w:rPr>
        <w:t>Subscription Donut — 27.0% of customers are subscribed vs. 73.0% not subscribed.</w:t>
      </w:r>
    </w:p>
    <w:p w14:paraId="1F31E804">
      <w:pPr>
        <w:pStyle w:val="16"/>
        <w:numPr>
          <w:ilvl w:val="0"/>
          <w:numId w:val="1"/>
        </w:numPr>
        <w:spacing w:after="90" w:line="290" w:lineRule="auto"/>
      </w:pPr>
      <w:r>
        <w:rPr>
          <w:color w:val="222222"/>
          <w:sz w:val="21"/>
          <w:szCs w:val="21"/>
        </w:rPr>
        <w:t>Sales by Category — Clothing leads with 1,737 purchases, followed by Accessories (1,240), Footwear (599), and Outerwear (324).</w:t>
      </w:r>
    </w:p>
    <w:p w14:paraId="2FB160E7">
      <w:pPr>
        <w:pStyle w:val="16"/>
        <w:numPr>
          <w:ilvl w:val="0"/>
          <w:numId w:val="1"/>
        </w:numPr>
        <w:spacing w:after="90" w:line="290" w:lineRule="auto"/>
      </w:pPr>
      <w:r>
        <w:rPr>
          <w:color w:val="222222"/>
          <w:sz w:val="21"/>
          <w:szCs w:val="21"/>
        </w:rPr>
        <w:t>Revenue by Age Group — horizontal bars confirming the near-even revenue split observed in the SQL analysis.</w:t>
      </w:r>
    </w:p>
    <w:p w14:paraId="7E618BCA">
      <w:pPr>
        <w:pStyle w:val="2"/>
        <w:spacing w:before="240" w:after="100"/>
      </w:pPr>
      <w:r>
        <w:rPr>
          <w:b/>
          <w:bCs/>
          <w:color w:val="1F3A5F"/>
          <w:sz w:val="26"/>
          <w:szCs w:val="26"/>
        </w:rPr>
        <w:t>6. Key Insights &amp; Recommendations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A27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left w:val="single" w:color="2E6F95" w:sz="24" w:space="0"/>
            </w:tcBorders>
            <w:shd w:val="clear" w:color="auto" w:fill="EDF2F6"/>
            <w:tcMar>
              <w:top w:w="120" w:type="dxa"/>
              <w:left w:w="160" w:type="dxa"/>
              <w:bottom w:w="120" w:type="dxa"/>
              <w:right w:w="160" w:type="dxa"/>
            </w:tcMar>
          </w:tcPr>
          <w:p w14:paraId="3A4CE7ED">
            <w:pPr>
              <w:spacing w:after="60"/>
            </w:pPr>
            <w:r>
              <w:rPr>
                <w:b/>
                <w:bCs/>
                <w:color w:val="1F3A5F"/>
                <w:sz w:val="20"/>
                <w:szCs w:val="20"/>
              </w:rPr>
              <w:t>Insight 1 — Male-Skewed Revenue Base</w:t>
            </w:r>
          </w:p>
          <w:p w14:paraId="566A2122">
            <w:r>
              <w:rPr>
                <w:color w:val="222222"/>
                <w:sz w:val="19"/>
                <w:szCs w:val="19"/>
              </w:rPr>
              <w:t>Male customers make up 68% of the base and generate 68% of revenue, suggesting an opportunity to grow the female segment through targeted campaigns rather than relying on further male acquisition.</w:t>
            </w:r>
          </w:p>
        </w:tc>
      </w:tr>
    </w:tbl>
    <w:p w14:paraId="73DD760A">
      <w:pPr>
        <w:spacing w:after="1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57C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left w:val="single" w:color="2E6F95" w:sz="24" w:space="0"/>
            </w:tcBorders>
            <w:shd w:val="clear" w:color="auto" w:fill="EDF2F6"/>
            <w:tcMar>
              <w:top w:w="120" w:type="dxa"/>
              <w:left w:w="160" w:type="dxa"/>
              <w:bottom w:w="120" w:type="dxa"/>
              <w:right w:w="160" w:type="dxa"/>
            </w:tcMar>
          </w:tcPr>
          <w:p w14:paraId="5DFBA81E">
            <w:pPr>
              <w:spacing w:after="60"/>
            </w:pPr>
            <w:r>
              <w:rPr>
                <w:b/>
                <w:bCs/>
                <w:color w:val="1F3A5F"/>
                <w:sz w:val="20"/>
                <w:szCs w:val="20"/>
              </w:rPr>
              <w:t>Insight 2 — Subscriptions Are Underleveraged</w:t>
            </w:r>
          </w:p>
          <w:p w14:paraId="7E8E4861">
            <w:r>
              <w:rPr>
                <w:color w:val="222222"/>
                <w:sz w:val="19"/>
                <w:szCs w:val="19"/>
              </w:rPr>
              <w:t>Subscribers spend no more per order than non-subscribers, and purchase history does not predict subscription uptake. The program should be repositioned with clearer value (e.g., free shipping, early access) to drive adoption and spend.</w:t>
            </w:r>
          </w:p>
        </w:tc>
      </w:tr>
    </w:tbl>
    <w:p w14:paraId="29D511C0">
      <w:pPr>
        <w:spacing w:after="1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118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left w:val="single" w:color="2E6F95" w:sz="24" w:space="0"/>
            </w:tcBorders>
            <w:shd w:val="clear" w:color="auto" w:fill="EDF2F6"/>
            <w:tcMar>
              <w:top w:w="120" w:type="dxa"/>
              <w:left w:w="160" w:type="dxa"/>
              <w:bottom w:w="120" w:type="dxa"/>
              <w:right w:w="160" w:type="dxa"/>
            </w:tcMar>
          </w:tcPr>
          <w:p w14:paraId="14059D5C">
            <w:pPr>
              <w:spacing w:after="60"/>
            </w:pPr>
            <w:r>
              <w:rPr>
                <w:b/>
                <w:bCs/>
                <w:color w:val="1F3A5F"/>
                <w:sz w:val="20"/>
                <w:szCs w:val="20"/>
              </w:rPr>
              <w:t>Insight 3 — Strong Loyal Base, Thin Acquisition Funnel</w:t>
            </w:r>
          </w:p>
          <w:p w14:paraId="303E656E">
            <w:r>
              <w:rPr>
                <w:color w:val="222222"/>
                <w:sz w:val="19"/>
                <w:szCs w:val="19"/>
              </w:rPr>
              <w:t>60% of customers are already "Loyal" (20+ purchases) but only 11% are "New." Retention is clearly working; the priority should shift toward top-of-funnel acquisition to sustain long-term growth.</w:t>
            </w:r>
          </w:p>
        </w:tc>
      </w:tr>
    </w:tbl>
    <w:p w14:paraId="26BC5147">
      <w:pPr>
        <w:spacing w:after="1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970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left w:val="single" w:color="2E6F95" w:sz="24" w:space="0"/>
            </w:tcBorders>
            <w:shd w:val="clear" w:color="auto" w:fill="EDF2F6"/>
            <w:tcMar>
              <w:top w:w="120" w:type="dxa"/>
              <w:left w:w="160" w:type="dxa"/>
              <w:bottom w:w="120" w:type="dxa"/>
              <w:right w:w="160" w:type="dxa"/>
            </w:tcMar>
          </w:tcPr>
          <w:p w14:paraId="3979FBED">
            <w:pPr>
              <w:spacing w:after="60"/>
            </w:pPr>
            <w:r>
              <w:rPr>
                <w:b/>
                <w:bCs/>
                <w:color w:val="1F3A5F"/>
                <w:sz w:val="20"/>
                <w:szCs w:val="20"/>
              </w:rPr>
              <w:t>Insight 4 — Express Shipping Commands Higher Baskets</w:t>
            </w:r>
          </w:p>
          <w:p w14:paraId="5FF38644">
            <w:r>
              <w:rPr>
                <w:color w:val="222222"/>
                <w:sz w:val="19"/>
                <w:szCs w:val="19"/>
              </w:rPr>
              <w:t>Express shipping customers spend ~3.4% more per order. Promoting express shipping thresholds (e.g., free express above a basket value) could lift average order value.</w:t>
            </w:r>
          </w:p>
        </w:tc>
      </w:tr>
    </w:tbl>
    <w:p w14:paraId="29C31C9C">
      <w:pPr>
        <w:pStyle w:val="2"/>
        <w:spacing w:before="240" w:after="100"/>
      </w:pPr>
      <w:r>
        <w:rPr>
          <w:b/>
          <w:bCs/>
          <w:color w:val="1F3A5F"/>
          <w:sz w:val="26"/>
          <w:szCs w:val="26"/>
        </w:rPr>
        <w:t>7. Conclusion</w:t>
      </w:r>
    </w:p>
    <w:p w14:paraId="743068D7">
      <w:pPr>
        <w:spacing w:after="160" w:line="300" w:lineRule="auto"/>
      </w:pPr>
      <w:r>
        <w:rPr>
          <w:color w:val="222222"/>
          <w:sz w:val="21"/>
          <w:szCs w:val="21"/>
        </w:rPr>
        <w:t>This project demonstrates a complete analytics workflow — from raw data cleaning and feature engineering in Python, through structured business-question analysis in SQL Server, to an executive-ready Power BI dashboard. The resulting insights point to a mature, loyalty-driven customer base with an underperforming subscription channel and a revenue mix skewed toward male shoppers, providing a clear, data-backed foundation for retention, acquisition, and subscription-strategy decisions.</w:t>
      </w:r>
    </w:p>
    <w:p w14:paraId="5C2C3FA9">
      <w:pPr>
        <w:spacing w:before="100" w:after="60"/>
      </w:pPr>
      <w:r>
        <w:rPr>
          <w:b/>
          <w:bCs/>
          <w:color w:val="1F3A5F"/>
          <w:sz w:val="20"/>
          <w:szCs w:val="20"/>
        </w:rPr>
        <w:t>Limitations &amp; Future Work</w:t>
      </w:r>
    </w:p>
    <w:p w14:paraId="27DFD048">
      <w:pPr>
        <w:pStyle w:val="16"/>
        <w:numPr>
          <w:ilvl w:val="0"/>
          <w:numId w:val="1"/>
        </w:numPr>
        <w:spacing w:after="90" w:line="290" w:lineRule="auto"/>
      </w:pPr>
      <w:r>
        <w:rPr>
          <w:color w:val="222222"/>
          <w:sz w:val="21"/>
          <w:szCs w:val="21"/>
        </w:rPr>
        <w:t>The dataset is a single-period snapshot; a time-series extension would allow trend and cohort-level churn analysis rather than a point-in-time view.</w:t>
      </w:r>
    </w:p>
    <w:p w14:paraId="3B281336">
      <w:pPr>
        <w:pStyle w:val="16"/>
        <w:numPr>
          <w:ilvl w:val="0"/>
          <w:numId w:val="1"/>
        </w:numPr>
        <w:spacing w:after="90" w:line="290" w:lineRule="auto"/>
      </w:pPr>
      <w:r>
        <w:rPr>
          <w:color w:val="222222"/>
          <w:sz w:val="21"/>
          <w:szCs w:val="21"/>
        </w:rPr>
        <w:t>Discount Applied and Promo Code Used being fully collinear limits independent analysis of promotional effectiveness — future data collection should decouple the two fields.</w:t>
      </w:r>
    </w:p>
    <w:p w14:paraId="79DA21DE">
      <w:pPr>
        <w:pStyle w:val="16"/>
        <w:numPr>
          <w:ilvl w:val="0"/>
          <w:numId w:val="1"/>
        </w:numPr>
        <w:spacing w:after="90" w:line="290" w:lineRule="auto"/>
      </w:pPr>
      <w:r>
        <w:rPr>
          <w:color w:val="222222"/>
          <w:sz w:val="21"/>
          <w:szCs w:val="21"/>
        </w:rPr>
        <w:t>Next steps include a predictive churn model (logistic regression / gradient boosting) built on the engineered features, and A/B testing of the proposed subscription repositioning.</w:t>
      </w:r>
    </w:p>
    <w:p w14:paraId="1BE653FD">
      <w:pPr>
        <w:spacing w:before="100"/>
      </w:pPr>
      <w:r>
        <w:rPr>
          <w:b/>
          <w:bCs/>
          <w:color w:val="222222"/>
          <w:sz w:val="19"/>
          <w:szCs w:val="19"/>
        </w:rPr>
        <w:t xml:space="preserve">Supporting files: </w:t>
      </w:r>
      <w:r>
        <w:rPr>
          <w:i/>
          <w:iCs/>
          <w:color w:val="222222"/>
          <w:sz w:val="19"/>
          <w:szCs w:val="19"/>
        </w:rPr>
        <w:t>Customer_Shopping_Behavior_Analysis.ipynb (Python EDA &amp; cleaning), customer_shopping_queries.sql (SQL analysis), and the Power BI dashboard file.</w:t>
      </w:r>
    </w:p>
    <w:sectPr>
      <w:headerReference r:id="rId3" w:type="default"/>
      <w:footerReference r:id="rId4" w:type="default"/>
      <w:pgSz w:w="12240" w:h="15840"/>
      <w:pgMar w:top="1080" w:right="1260" w:bottom="1080" w:left="1260" w:header="708" w:footer="708" w:gutter="0"/>
      <w:pgBorders w:offsetFrom="page">
        <w:top w:val="single" w:color="10253F" w:sz="4" w:space="24"/>
        <w:left w:val="single" w:color="10253F" w:sz="4" w:space="24"/>
        <w:bottom w:val="single" w:color="10253F" w:sz="4" w:space="24"/>
        <w:right w:val="single" w:color="10253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AD5D0">
    <w:pPr>
      <w:jc w:val="center"/>
    </w:pPr>
    <w:r>
      <w:rPr>
        <w:color w:val="5B6670"/>
        <w:sz w:val="14"/>
        <w:szCs w:val="14"/>
      </w:rPr>
      <w:t xml:space="preserve">Page </w:t>
    </w:r>
    <w:r>
      <w:rPr>
        <w:color w:val="5B6670"/>
        <w:sz w:val="14"/>
        <w:szCs w:val="14"/>
      </w:rPr>
      <w:fldChar w:fldCharType="begin"/>
    </w:r>
    <w:r>
      <w:rPr>
        <w:color w:val="5B6670"/>
        <w:sz w:val="14"/>
        <w:szCs w:val="14"/>
      </w:rPr>
      <w:instrText xml:space="preserve">PAGE</w:instrText>
    </w:r>
    <w:r>
      <w:rPr>
        <w:color w:val="5B6670"/>
        <w:sz w:val="14"/>
        <w:szCs w:val="14"/>
      </w:rPr>
      <w:fldChar w:fldCharType="separate"/>
    </w:r>
    <w:r>
      <w:rPr>
        <w:color w:val="5B6670"/>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817D1">
    <w:pPr>
      <w:pBdr>
        <w:bottom w:val="single" w:color="CCCCCC" w:sz="4" w:space="4"/>
      </w:pBdr>
      <w:jc w:val="right"/>
    </w:pPr>
    <w:r>
      <w:rPr>
        <w:color w:val="5B6670"/>
        <w:sz w:val="14"/>
        <w:szCs w:val="14"/>
      </w:rPr>
      <w:t>Customer Shopping Behavior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compat>
    <w:compatSetting w:name="compatibilityMode" w:uri="http://schemas.microsoft.com/office/word" w:val="15"/>
  </w:compat>
  <w:rsids>
    <w:rsidRoot w:val="00000000"/>
    <w:rsid w:val="329C4A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492</Words>
  <Characters>3124</Characters>
  <TotalTime>1</TotalTime>
  <ScaleCrop>false</ScaleCrop>
  <LinksUpToDate>false</LinksUpToDate>
  <CharactersWithSpaces>3568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2026-08-21T12:39:00Z</dcterms:created>
  <dc:creator>Un-named</dc:creator>
  <cp:lastModifiedBy>Tasbeeha Moeed</cp:lastModifiedBy>
  <dcterms:modified xsi:type="dcterms:W3CDTF">2026-08-21T12:51:43Z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eyJoZGlkIjoiMTFlNWY3YjNmMjY3ZmE0NzMwYjRkNDRmMmI5MzRjYmEiLCJ1c2VySWQiOiIxOTQyMDA3OTIzODMwIn0=</vt:lpwstr>
  </property>
  <property fmtid="{D5CDD505-2E9C-101B-9397-08002B2CF9AE}" pid="3" name="KSOProductBuildVer">
    <vt:lpwstr>1033-12.1.0.26880</vt:lpwstr>
  </property>
  <property fmtid="{D5CDD505-2E9C-101B-9397-08002B2CF9AE}" pid="4" name="ICV">
    <vt:lpwstr>5494E99FAA9D4F28B067085990D36EB5_12</vt:lpwstr>
  </property>
</Properties>
</file>